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792F" w14:textId="6BA00DB1" w:rsidR="00D25A84" w:rsidRDefault="00D25A84" w:rsidP="00D25A84">
      <w:pPr>
        <w:keepNext/>
        <w:spacing w:after="240"/>
        <w:jc w:val="center"/>
        <w:rPr>
          <w:rFonts w:ascii="Times New Roman Bold" w:hAnsi="Times New Roman Bold"/>
          <w:b/>
          <w:smallCaps/>
          <w:color w:val="FF0000"/>
          <w:szCs w:val="24"/>
          <w:lang w:eastAsia="ko-KR"/>
        </w:rPr>
      </w:pPr>
      <w:r w:rsidRPr="00D25A84">
        <w:rPr>
          <w:rFonts w:ascii="Times New Roman Bold" w:hAnsi="Times New Roman Bold"/>
          <w:b/>
          <w:smallCaps/>
          <w:color w:val="FF0000"/>
          <w:szCs w:val="24"/>
          <w:lang w:eastAsia="ko-KR"/>
        </w:rPr>
        <w:t xml:space="preserve">do not use this form for Employees who live or work in </w:t>
      </w:r>
      <w:r w:rsidR="00B9385E">
        <w:rPr>
          <w:rFonts w:ascii="Times New Roman Bold" w:hAnsi="Times New Roman Bold"/>
          <w:b/>
          <w:smallCaps/>
          <w:color w:val="FF0000"/>
          <w:szCs w:val="24"/>
          <w:lang w:eastAsia="ko-KR"/>
        </w:rPr>
        <w:t xml:space="preserve">California or </w:t>
      </w:r>
      <w:r w:rsidRPr="00D25A84">
        <w:rPr>
          <w:rFonts w:ascii="Times New Roman Bold" w:hAnsi="Times New Roman Bold"/>
          <w:b/>
          <w:smallCaps/>
          <w:color w:val="FF0000"/>
          <w:szCs w:val="24"/>
          <w:lang w:eastAsia="ko-KR"/>
        </w:rPr>
        <w:t xml:space="preserve">Massachusetts.  </w:t>
      </w:r>
    </w:p>
    <w:p w14:paraId="4C4701B3" w14:textId="47E23196" w:rsidR="00D25A84" w:rsidRPr="00D25A84" w:rsidRDefault="00D25A84" w:rsidP="00D25A84">
      <w:pPr>
        <w:keepNext/>
        <w:spacing w:after="240"/>
        <w:jc w:val="center"/>
        <w:rPr>
          <w:rFonts w:ascii="Times New Roman Bold" w:hAnsi="Times New Roman Bold"/>
          <w:b/>
          <w:smallCaps/>
          <w:color w:val="FF0000"/>
          <w:szCs w:val="24"/>
          <w:lang w:eastAsia="ko-KR"/>
        </w:rPr>
      </w:pPr>
      <w:r w:rsidRPr="00D25A84">
        <w:rPr>
          <w:rFonts w:ascii="Times New Roman Bold" w:hAnsi="Times New Roman Bold"/>
          <w:b/>
          <w:smallCaps/>
          <w:color w:val="FF0000"/>
          <w:szCs w:val="24"/>
          <w:lang w:eastAsia="ko-KR"/>
        </w:rPr>
        <w:t xml:space="preserve">See the </w:t>
      </w:r>
      <w:r w:rsidR="00B9385E">
        <w:rPr>
          <w:rFonts w:ascii="Times New Roman Bold" w:hAnsi="Times New Roman Bold"/>
          <w:b/>
          <w:smallCaps/>
          <w:color w:val="FF0000"/>
          <w:szCs w:val="24"/>
          <w:lang w:eastAsia="ko-KR"/>
        </w:rPr>
        <w:t xml:space="preserve">California or </w:t>
      </w:r>
      <w:r w:rsidRPr="00D25A84">
        <w:rPr>
          <w:rFonts w:ascii="Times New Roman Bold" w:hAnsi="Times New Roman Bold"/>
          <w:b/>
          <w:smallCaps/>
          <w:color w:val="FF0000"/>
          <w:szCs w:val="24"/>
          <w:lang w:eastAsia="ko-KR"/>
        </w:rPr>
        <w:t>Massachusetts-specific form</w:t>
      </w:r>
      <w:r w:rsidR="00B9385E">
        <w:rPr>
          <w:rFonts w:ascii="Times New Roman Bold" w:hAnsi="Times New Roman Bold"/>
          <w:b/>
          <w:smallCaps/>
          <w:color w:val="FF0000"/>
          <w:szCs w:val="24"/>
          <w:lang w:eastAsia="ko-KR"/>
        </w:rPr>
        <w:t>, as applicable.</w:t>
      </w:r>
    </w:p>
    <w:p w14:paraId="5B191302" w14:textId="77777777" w:rsidR="008C5344" w:rsidRPr="00032B33" w:rsidRDefault="008C5344" w:rsidP="00032B33">
      <w:pPr>
        <w:keepNext/>
        <w:spacing w:after="240"/>
        <w:jc w:val="center"/>
        <w:rPr>
          <w:rFonts w:ascii="Times New Roman Bold" w:hAnsi="Times New Roman Bold"/>
          <w:smallCaps/>
          <w:szCs w:val="24"/>
          <w:lang w:eastAsia="ko-KR"/>
        </w:rPr>
      </w:pPr>
      <w:r w:rsidRPr="00032B33">
        <w:rPr>
          <w:rFonts w:ascii="Times New Roman Bold" w:hAnsi="Times New Roman Bold"/>
          <w:smallCaps/>
          <w:szCs w:val="24"/>
          <w:lang w:eastAsia="ko-KR"/>
        </w:rPr>
        <w:t>[</w:t>
      </w:r>
      <w:r w:rsidRPr="00032B33">
        <w:rPr>
          <w:rFonts w:ascii="Times New Roman Bold" w:hAnsi="Times New Roman Bold"/>
          <w:smallCaps/>
          <w:szCs w:val="24"/>
          <w:highlight w:val="yellow"/>
          <w:lang w:eastAsia="ko-KR"/>
        </w:rPr>
        <w:t>Company Name</w:t>
      </w:r>
      <w:r w:rsidRPr="00032B33">
        <w:rPr>
          <w:rFonts w:ascii="Times New Roman Bold" w:hAnsi="Times New Roman Bold"/>
          <w:smallCaps/>
          <w:szCs w:val="24"/>
          <w:lang w:eastAsia="ko-KR"/>
        </w:rPr>
        <w:t>]</w:t>
      </w:r>
    </w:p>
    <w:p w14:paraId="6BFB0B8A" w14:textId="38920149" w:rsidR="008C5344" w:rsidRPr="00032B33" w:rsidRDefault="008C5344">
      <w:pPr>
        <w:pStyle w:val="Subtitle"/>
        <w:rPr>
          <w:rFonts w:ascii="Times New Roman Bold" w:hAnsi="Times New Roman Bold"/>
          <w:b/>
          <w:smallCaps/>
          <w:u w:val="none"/>
        </w:rPr>
      </w:pPr>
      <w:r w:rsidRPr="00B9385E">
        <w:rPr>
          <w:rFonts w:ascii="Times New Roman Bold" w:hAnsi="Times New Roman Bold"/>
          <w:b/>
          <w:smallCaps/>
          <w:u w:val="none"/>
        </w:rPr>
        <w:t>Non-Competition and Non-S</w:t>
      </w:r>
      <w:r w:rsidRPr="00032B33">
        <w:rPr>
          <w:rFonts w:ascii="Times New Roman Bold" w:hAnsi="Times New Roman Bold"/>
          <w:b/>
          <w:smallCaps/>
          <w:u w:val="none"/>
        </w:rPr>
        <w:t>olicitation Agreement</w:t>
      </w:r>
    </w:p>
    <w:p w14:paraId="18F6A8D8" w14:textId="4619EC0F" w:rsidR="008C5344" w:rsidRDefault="002E34D7" w:rsidP="00032B33">
      <w:pPr>
        <w:pStyle w:val="BodyTextFirstIndent"/>
        <w:jc w:val="both"/>
      </w:pPr>
      <w:r>
        <w:t>T</w:t>
      </w:r>
      <w:r w:rsidR="008C5344">
        <w:t>hi</w:t>
      </w:r>
      <w:r w:rsidR="008C5344" w:rsidRPr="00B9385E">
        <w:t>s Non-Competition and</w:t>
      </w:r>
      <w:r w:rsidR="008C5344">
        <w:t xml:space="preserve"> Non-Solicitation Agreement (this “</w:t>
      </w:r>
      <w:r w:rsidR="008C5344" w:rsidRPr="00032B33">
        <w:rPr>
          <w:b/>
        </w:rPr>
        <w:t>Agreement</w:t>
      </w:r>
      <w:r w:rsidR="008C5344">
        <w:t>”) made this [</w:t>
      </w:r>
      <w:r w:rsidR="008C5344">
        <w:rPr>
          <w:highlight w:val="yellow"/>
        </w:rPr>
        <w:t>____</w:t>
      </w:r>
      <w:r w:rsidR="008C5344">
        <w:t>] day of [</w:t>
      </w:r>
      <w:r w:rsidR="008C5344">
        <w:rPr>
          <w:highlight w:val="yellow"/>
        </w:rPr>
        <w:t>_____________</w:t>
      </w:r>
      <w:r w:rsidR="008C5344">
        <w:t>], 20</w:t>
      </w:r>
      <w:r w:rsidR="008C5344">
        <w:rPr>
          <w:highlight w:val="yellow"/>
        </w:rPr>
        <w:t>[  ]</w:t>
      </w:r>
      <w:r w:rsidR="008C5344">
        <w:t xml:space="preserve">, is by and between </w:t>
      </w:r>
      <w:r w:rsidR="008C5344">
        <w:rPr>
          <w:highlight w:val="yellow"/>
        </w:rPr>
        <w:t>[_____________]</w:t>
      </w:r>
      <w:r w:rsidR="008C5344">
        <w:t>, a Delaware corporation (</w:t>
      </w:r>
      <w:r w:rsidR="00B9385E">
        <w:t>hereinafter referred to collectively with its subsidiaries as the “</w:t>
      </w:r>
      <w:r w:rsidR="00B9385E" w:rsidRPr="00B9385E">
        <w:rPr>
          <w:b/>
          <w:bCs/>
        </w:rPr>
        <w:t>Company</w:t>
      </w:r>
      <w:r w:rsidR="00B9385E">
        <w:t>”)</w:t>
      </w:r>
      <w:r w:rsidR="008C5344">
        <w:t xml:space="preserve">, and </w:t>
      </w:r>
      <w:r w:rsidR="008C5344">
        <w:rPr>
          <w:highlight w:val="yellow"/>
        </w:rPr>
        <w:t>[____________]</w:t>
      </w:r>
      <w:r w:rsidR="008C5344">
        <w:t xml:space="preserve"> (the “</w:t>
      </w:r>
      <w:r w:rsidR="008C5344" w:rsidRPr="00032B33">
        <w:rPr>
          <w:b/>
        </w:rPr>
        <w:t>Employee</w:t>
      </w:r>
      <w:r w:rsidR="008C5344">
        <w:t>”).</w:t>
      </w:r>
    </w:p>
    <w:p w14:paraId="49B815C0" w14:textId="77777777" w:rsidR="008C5344" w:rsidRPr="00B9385E" w:rsidRDefault="008C5344" w:rsidP="00032B33">
      <w:pPr>
        <w:pStyle w:val="BodyTextFirstIndent"/>
        <w:jc w:val="both"/>
      </w:pPr>
      <w:r>
        <w:t>For good consideration and in consideration of the employment or continued employment of the Emplo</w:t>
      </w:r>
      <w:r w:rsidRPr="00B9385E">
        <w:t>yee by the Company, the Employee and the Company agree as follows:</w:t>
      </w:r>
    </w:p>
    <w:p w14:paraId="362731D4" w14:textId="58E63894" w:rsidR="008C5344" w:rsidRPr="00B9385E" w:rsidRDefault="008C5344" w:rsidP="00032B33">
      <w:pPr>
        <w:pStyle w:val="Heading1"/>
        <w:numPr>
          <w:ilvl w:val="0"/>
          <w:numId w:val="4"/>
        </w:numPr>
        <w:jc w:val="both"/>
      </w:pPr>
      <w:r w:rsidRPr="00B9385E">
        <w:rPr>
          <w:u w:val="single"/>
        </w:rPr>
        <w:t>Non-Competition and Non-Solicitation</w:t>
      </w:r>
      <w:r w:rsidRPr="00B9385E">
        <w:t xml:space="preserve">.  </w:t>
      </w:r>
    </w:p>
    <w:p w14:paraId="18AF6C02" w14:textId="3C9223EF" w:rsidR="008C5344" w:rsidRPr="00B9385E" w:rsidRDefault="008C5344" w:rsidP="00032B33">
      <w:pPr>
        <w:pStyle w:val="Heading2"/>
        <w:jc w:val="both"/>
      </w:pPr>
      <w:r w:rsidRPr="00B9385E">
        <w:rPr>
          <w:u w:val="single"/>
        </w:rPr>
        <w:t>Non-Competition and Non-Solicitation</w:t>
      </w:r>
      <w:r w:rsidRPr="00B9385E">
        <w:t>.  While the Employee is employed by the Company and for a period of one (1) year after the termination or cessation of such employment for any reason, the Employee will not directly or indirectly:</w:t>
      </w:r>
    </w:p>
    <w:p w14:paraId="1CCF41F9" w14:textId="77777777" w:rsidR="008C5344" w:rsidRPr="00B9385E" w:rsidRDefault="008C5344" w:rsidP="00032B33">
      <w:pPr>
        <w:pStyle w:val="Heading2"/>
        <w:numPr>
          <w:ilvl w:val="0"/>
          <w:numId w:val="0"/>
        </w:numPr>
        <w:tabs>
          <w:tab w:val="clear" w:pos="2160"/>
        </w:tabs>
        <w:jc w:val="both"/>
        <w:rPr>
          <w:b/>
          <w:bCs/>
        </w:rPr>
      </w:pPr>
      <w:r w:rsidRPr="00B9385E">
        <w:tab/>
      </w:r>
      <w:r w:rsidRPr="00B9385E">
        <w:tab/>
      </w:r>
      <w:r w:rsidRPr="00B9385E">
        <w:tab/>
        <w:t>(i)</w:t>
      </w:r>
      <w:r w:rsidRPr="00B9385E">
        <w:tab/>
        <w:t>in the geographical areas that the Company does business or has done business at the time of the Employee’s termination, engage or assist others in engaging in any business or enterprise (whether as owner, partner, officer, director, employee, consultant, investor, lender or otherwise, except as the holder of not more than 1% of the outstanding stock of a publicly-held company) that is competitive with the Company’s business, including but not limited to any business or enterprise that develops, manufactures, markets, licenses, sells or provides any product or service that competes with any product or service developed, manufactured, marketed, licensed, sold or provided, or planned to be developed, manufactured, marketed, licensed, sold or provided, by the Company while the Employee was employed by the Company; or</w:t>
      </w:r>
    </w:p>
    <w:p w14:paraId="5622BE9A" w14:textId="77777777" w:rsidR="008C5344" w:rsidRPr="00B9385E" w:rsidRDefault="008C5344" w:rsidP="00032B33">
      <w:pPr>
        <w:pStyle w:val="Heading2"/>
        <w:numPr>
          <w:ilvl w:val="0"/>
          <w:numId w:val="0"/>
        </w:numPr>
        <w:tabs>
          <w:tab w:val="clear" w:pos="2160"/>
        </w:tabs>
        <w:jc w:val="both"/>
      </w:pPr>
      <w:r w:rsidRPr="00B9385E">
        <w:tab/>
      </w:r>
      <w:r w:rsidRPr="00B9385E">
        <w:tab/>
      </w:r>
      <w:r w:rsidRPr="00B9385E">
        <w:tab/>
        <w:t>(ii)</w:t>
      </w:r>
      <w:r w:rsidRPr="00B9385E">
        <w:tab/>
        <w:t xml:space="preserve">either alone or in association with others, solicit, </w:t>
      </w:r>
      <w:proofErr w:type="gramStart"/>
      <w:r w:rsidRPr="00B9385E">
        <w:t>divert</w:t>
      </w:r>
      <w:proofErr w:type="gramEnd"/>
      <w:r w:rsidRPr="00B9385E">
        <w:t xml:space="preserve"> or take away, or attempt to divert or take away, the business or patronage of any of the actual or prospective clients, customers, accounts or business partners of the Company which were contacted, solicited, or served by the Company during the Employee’s employment with the Company; or</w:t>
      </w:r>
    </w:p>
    <w:p w14:paraId="0DF70F49" w14:textId="77777777" w:rsidR="008C5344" w:rsidRPr="00B9385E" w:rsidRDefault="008C5344" w:rsidP="00032B33">
      <w:pPr>
        <w:pStyle w:val="Heading2"/>
        <w:numPr>
          <w:ilvl w:val="0"/>
          <w:numId w:val="0"/>
        </w:numPr>
        <w:tabs>
          <w:tab w:val="clear" w:pos="2160"/>
        </w:tabs>
        <w:jc w:val="both"/>
      </w:pPr>
      <w:r w:rsidRPr="00B9385E">
        <w:tab/>
      </w:r>
      <w:r w:rsidRPr="00B9385E">
        <w:tab/>
      </w:r>
      <w:r w:rsidRPr="00B9385E">
        <w:tab/>
        <w:t>(iii)</w:t>
      </w:r>
      <w:r w:rsidRPr="00B9385E">
        <w:tab/>
        <w:t xml:space="preserve">either alone or in association with others (i) solicit, induce or attempt to induce, any employee or independent contractor of the Company to terminate his or her employment or other engagement with the Company, or (ii) hire or recruit, or attempt to hire or recruit, or engage or attempt to engage as an independent contractor, any person who was employed or otherwise engaged by the Company at any time during the term of the Employee’s employment with the Company; </w:t>
      </w:r>
      <w:r w:rsidRPr="00B9385E">
        <w:rPr>
          <w:u w:val="single"/>
        </w:rPr>
        <w:t>provided</w:t>
      </w:r>
      <w:r w:rsidRPr="00B9385E">
        <w:t>, that this clause (ii) shall not apply to the recruitment or hiring or other engagement of any individual whose employment or other engagement with the Company has been terminated for a period of six months or longer.</w:t>
      </w:r>
    </w:p>
    <w:p w14:paraId="5A12283A" w14:textId="77777777" w:rsidR="008C5344" w:rsidRPr="00B9385E" w:rsidRDefault="008C5344" w:rsidP="00032B33">
      <w:pPr>
        <w:pStyle w:val="Heading2"/>
        <w:jc w:val="both"/>
      </w:pPr>
      <w:r w:rsidRPr="00B9385E">
        <w:rPr>
          <w:u w:val="single"/>
        </w:rPr>
        <w:lastRenderedPageBreak/>
        <w:t>Extension</w:t>
      </w:r>
      <w:r w:rsidRPr="00B9385E">
        <w:t>.  If the Employee violates the provisions of any of the preceding paragraphs of this Section 1, the Employee shall continue to be bound by the restrictions set forth in such paragraph until a period of one (1) year has expired without any violation of such provisions.</w:t>
      </w:r>
    </w:p>
    <w:p w14:paraId="059E2891" w14:textId="52D8961F" w:rsidR="008C5344" w:rsidRPr="00B9385E" w:rsidRDefault="008C5344" w:rsidP="00032B33">
      <w:pPr>
        <w:pStyle w:val="Heading2"/>
        <w:jc w:val="both"/>
      </w:pPr>
      <w:r w:rsidRPr="00B9385E">
        <w:rPr>
          <w:u w:val="single"/>
        </w:rPr>
        <w:t>Notice of New Business Activity</w:t>
      </w:r>
      <w:r w:rsidRPr="00B9385E">
        <w:t>.  The Employee agrees that during the non-competition and non-solicitation period, the Employee will give notice to the Company of each new business activity the Employee plans to undertake, at least (10) business days prior to beginning any such activity.  The notice shall state the name and address of the individual, corporation, association or other entity or organization (“</w:t>
      </w:r>
      <w:r w:rsidRPr="00B9385E">
        <w:rPr>
          <w:b/>
        </w:rPr>
        <w:t>Entity</w:t>
      </w:r>
      <w:r w:rsidRPr="00B9385E">
        <w:t xml:space="preserve">”) for whom such activity is undertaken and the name of the Employee’s business relationship or position with the entity.  The Employee further agrees to provide the Company with other pertinent information concerning such business activity as the Company may reasonably request </w:t>
      </w:r>
      <w:proofErr w:type="gramStart"/>
      <w:r w:rsidRPr="00B9385E">
        <w:t>in order to</w:t>
      </w:r>
      <w:proofErr w:type="gramEnd"/>
      <w:r w:rsidRPr="00B9385E">
        <w:t xml:space="preserve"> determine the Employee’s continued compliance with his/her obligations under this Agreement.</w:t>
      </w:r>
      <w:r w:rsidR="00B9385E">
        <w:t xml:space="preserve">  The Employee agrees to provide a copy of this Agreement to all person and Entities with whom the Employee seeks to be hired or do business before accepting employment or engagement with any of them.</w:t>
      </w:r>
    </w:p>
    <w:p w14:paraId="1F8700F2" w14:textId="77777777" w:rsidR="008C5344" w:rsidRDefault="008C5344" w:rsidP="00032B33">
      <w:pPr>
        <w:pStyle w:val="Heading1"/>
        <w:jc w:val="both"/>
      </w:pPr>
      <w:r>
        <w:rPr>
          <w:u w:val="single"/>
        </w:rPr>
        <w:t>Miscellaneous</w:t>
      </w:r>
      <w:r>
        <w:t>.</w:t>
      </w:r>
    </w:p>
    <w:p w14:paraId="193BF538" w14:textId="5F93055D" w:rsidR="008C5344" w:rsidRDefault="008C5344" w:rsidP="00032B33">
      <w:pPr>
        <w:pStyle w:val="Heading2"/>
        <w:jc w:val="both"/>
      </w:pPr>
      <w:r>
        <w:rPr>
          <w:u w:val="single"/>
        </w:rPr>
        <w:t>Equitable Remedies</w:t>
      </w:r>
      <w:r>
        <w:t>.  The Employee acknowledges that the restrictions contained in this Agreement are necessary for the protection of the business and goodwill of the Company and are considered by the Employee to be reasonable for such purpose.  The Employee agrees that any breach or threatened breach of this Agreement is likely to cause the Company substantial and irrevocable damage which is difficult to measure.  Therefore, in the event of any such breach or threatened breach, the Employee agrees that the Company, in addition to such other remedies which may be available, shall have the right to obtain an injunction from a court restraining such a breach or threatened breach without posting a bond and the right to specific performance of the provisions of this Agreement and the Employee hereby waives the adequacy of a remedy at law as a defense to such relief.</w:t>
      </w:r>
      <w:r w:rsidR="00B9385E">
        <w:t xml:space="preserve">  Additionally, the Employee acknowledges and agrees that, while the non-solicitation obligations herein are essential to the protection of the Company’s legitimate business interests, such interests cannot be adequately protected without the non-competition obligations set forth in Section 1(a).</w:t>
      </w:r>
    </w:p>
    <w:p w14:paraId="2C3B2CC0" w14:textId="4967E521" w:rsidR="008C5344" w:rsidRDefault="008C5344" w:rsidP="00032B33">
      <w:pPr>
        <w:pStyle w:val="Heading2"/>
        <w:jc w:val="both"/>
      </w:pPr>
      <w:r>
        <w:rPr>
          <w:u w:val="single"/>
        </w:rPr>
        <w:t>Obligations to Third Parties</w:t>
      </w:r>
      <w:r>
        <w:t>.  The Employee represents that, except as the Employee has disclosed in writing to the Company, the Employee is not bound by the terms of any agreement with any previous employer or other party to refrain from competing, directly or indirectly, with the business of such previous employer or any other party</w:t>
      </w:r>
      <w:r w:rsidR="00B9385E">
        <w:t xml:space="preserve"> to refrain from using or disclosing any trade secret or confidential or proprietary information in the course of his/her employment with the Company</w:t>
      </w:r>
      <w:r>
        <w:t xml:space="preserve">, or to refrain from soliciting employees, customers or suppliers of such previous employer or other party.  </w:t>
      </w:r>
      <w:r w:rsidR="00B9385E" w:rsidRPr="00B9385E">
        <w:rPr>
          <w:snapToGrid/>
        </w:rPr>
        <w:t>The Employee further represents that his/her performance of all the terms of this Agreement and the performance of his/her duties as an employee of the Company does not and will not conflict with or breach any agreement with any prior employer or other party (including, without limitation, any nondisclosure or non-competition agreement), and that the Employee will not disclose to the Company or induce the Company to use any confidential or proprietary information or material belonging to any previous employer or others</w:t>
      </w:r>
      <w:r>
        <w:t xml:space="preserve">.  </w:t>
      </w:r>
    </w:p>
    <w:p w14:paraId="75309F8F" w14:textId="00C46BE6" w:rsidR="008C5344" w:rsidRDefault="008C5344" w:rsidP="00032B33">
      <w:pPr>
        <w:pStyle w:val="Heading2"/>
        <w:jc w:val="both"/>
      </w:pPr>
      <w:r>
        <w:rPr>
          <w:u w:val="single"/>
        </w:rPr>
        <w:lastRenderedPageBreak/>
        <w:t>Disclosure of this Agreement</w:t>
      </w:r>
      <w:r>
        <w:t>.  For a period of one year after the termination or cessation of the Employee’s employment for any reason, the Employee agrees to notify any potential, prospective employer or business associate of the terms and existence of this Agreement and the Employee’s continuing obligations to the Company hereunder.</w:t>
      </w:r>
    </w:p>
    <w:p w14:paraId="65661AAC" w14:textId="77777777" w:rsidR="008C5344" w:rsidRDefault="008C5344" w:rsidP="00032B33">
      <w:pPr>
        <w:pStyle w:val="Heading2"/>
        <w:jc w:val="both"/>
      </w:pPr>
      <w:r>
        <w:rPr>
          <w:u w:val="single"/>
        </w:rPr>
        <w:t>Not Employment Contract</w:t>
      </w:r>
      <w:r>
        <w:t xml:space="preserve">.  The Employee acknowledges that this Agreement does not constitute a contract of employment, does not imply that the Company will continue his/her employment for any </w:t>
      </w:r>
      <w:proofErr w:type="gramStart"/>
      <w:r>
        <w:t>period of time</w:t>
      </w:r>
      <w:proofErr w:type="gramEnd"/>
      <w:r>
        <w:t xml:space="preserve"> and does not change the at-will nature of his/her employment.</w:t>
      </w:r>
    </w:p>
    <w:p w14:paraId="191A1DB7" w14:textId="14F96114" w:rsidR="008C5344" w:rsidRDefault="008C5344" w:rsidP="00032B33">
      <w:pPr>
        <w:pStyle w:val="Heading2"/>
        <w:jc w:val="both"/>
      </w:pPr>
      <w:r>
        <w:rPr>
          <w:u w:val="single"/>
        </w:rPr>
        <w:t>Successors and Assigns</w:t>
      </w:r>
      <w:r>
        <w:t xml:space="preserve">.  This Agreement shall be binding upon and inure to the benefit of both parties and their respective successors and assigns, including any corporation with which, or into which, the Company may be </w:t>
      </w:r>
      <w:proofErr w:type="gramStart"/>
      <w:r>
        <w:t>merged</w:t>
      </w:r>
      <w:proofErr w:type="gramEnd"/>
      <w:r>
        <w:t xml:space="preserve"> or which may succeed to the Company’s assets or business, provided, however, that the obligations of the Employee are personal and shall not be assigned by him or her.  </w:t>
      </w:r>
      <w:r w:rsidR="00B9385E">
        <w:t>The Employee expressly consents to be bound by the provisions of this Agreement for the benefit of any successor or assign of the Company without the necessity that this Agreement be re-signed, in which event “</w:t>
      </w:r>
      <w:r w:rsidR="00B9385E" w:rsidRPr="00287964">
        <w:t>Company</w:t>
      </w:r>
      <w:r w:rsidR="00B9385E">
        <w:t>”</w:t>
      </w:r>
      <w:r w:rsidR="00B9385E" w:rsidRPr="00287964">
        <w:t xml:space="preserve"> shall be interpreted to include any </w:t>
      </w:r>
      <w:r w:rsidR="00B9385E">
        <w:t>successor or assign of the Company</w:t>
      </w:r>
      <w:r>
        <w:t xml:space="preserve">.  </w:t>
      </w:r>
    </w:p>
    <w:p w14:paraId="19F2B82B" w14:textId="77777777" w:rsidR="008C5344" w:rsidRDefault="008C5344" w:rsidP="00032B33">
      <w:pPr>
        <w:pStyle w:val="Heading2"/>
        <w:jc w:val="both"/>
      </w:pPr>
      <w:r>
        <w:rPr>
          <w:u w:val="single"/>
        </w:rPr>
        <w:t>Interpretation</w:t>
      </w:r>
      <w:r>
        <w:t>.  If any restriction set forth in Section 1 is found by any court of competent jurisdiction to be unenforceable because it extends for too long a period of time or over too great a range of activities or in too broad a geographic area, it shall be interpreted to extend only over the maximum period of time, range of activities or geographic area as to which it may be enforceable.</w:t>
      </w:r>
    </w:p>
    <w:p w14:paraId="0F90166D" w14:textId="77777777" w:rsidR="008C5344" w:rsidRDefault="008C5344" w:rsidP="00032B33">
      <w:pPr>
        <w:pStyle w:val="Heading2"/>
        <w:jc w:val="both"/>
      </w:pPr>
      <w:r>
        <w:rPr>
          <w:u w:val="single"/>
        </w:rPr>
        <w:t>Severability</w:t>
      </w:r>
      <w:r>
        <w:t xml:space="preserve">.  In case any provision of this Agreement shall be invalid, </w:t>
      </w:r>
      <w:proofErr w:type="gramStart"/>
      <w:r>
        <w:t>illegal</w:t>
      </w:r>
      <w:proofErr w:type="gramEnd"/>
      <w:r>
        <w:t xml:space="preserve"> or otherwise unenforceable, the validity, legality and enforceability of the remaining provisions shall in no way be affected or impaired thereby.</w:t>
      </w:r>
    </w:p>
    <w:p w14:paraId="25B90E0B" w14:textId="77777777" w:rsidR="008C5344" w:rsidRDefault="008C5344" w:rsidP="00032B33">
      <w:pPr>
        <w:pStyle w:val="Heading2"/>
        <w:jc w:val="both"/>
      </w:pPr>
      <w:r>
        <w:rPr>
          <w:u w:val="single"/>
        </w:rPr>
        <w:t>Waivers</w:t>
      </w:r>
      <w:r>
        <w:t>.  No delay or omission by the Company in exercising any right under this Agreement will operate as a waiver of that or any other right.  A waiver or consent given by the Company on any one occasion is effective only in that instance and will not be construed as a bar to or waiver of any right on any other occasion.</w:t>
      </w:r>
    </w:p>
    <w:p w14:paraId="475C898C" w14:textId="1227293C" w:rsidR="008C5344" w:rsidRPr="00B9385E" w:rsidRDefault="008C5344" w:rsidP="00032B33">
      <w:pPr>
        <w:pStyle w:val="Heading2"/>
        <w:jc w:val="both"/>
      </w:pPr>
      <w:r>
        <w:rPr>
          <w:u w:val="single"/>
        </w:rPr>
        <w:t>Governing Law</w:t>
      </w:r>
      <w:r w:rsidR="00B9385E">
        <w:rPr>
          <w:u w:val="single"/>
        </w:rPr>
        <w:t xml:space="preserve"> and Consent to Jurisdiction</w:t>
      </w:r>
      <w:r>
        <w:t>.  This Agreement shall be governed by and construed in accordance with the laws of the [</w:t>
      </w:r>
      <w:r>
        <w:rPr>
          <w:highlight w:val="yellow"/>
        </w:rPr>
        <w:t>State/Commonwealth of __________]</w:t>
      </w:r>
      <w:r>
        <w:t xml:space="preserve"> (without reference to the conflicts of </w:t>
      </w:r>
      <w:proofErr w:type="spellStart"/>
      <w:r>
        <w:t>laws</w:t>
      </w:r>
      <w:proofErr w:type="spellEnd"/>
      <w:r>
        <w:t xml:space="preserve"> provisions thereof).  Any action, suit, or other legal proceeding which is commenced to resolve any matter arising under or relating to any provision of this Agreement shall be commenced only in a court of the [</w:t>
      </w:r>
      <w:r>
        <w:rPr>
          <w:highlight w:val="yellow"/>
        </w:rPr>
        <w:t>State/Commonwealth of __________]</w:t>
      </w:r>
      <w:r>
        <w:t xml:space="preserve"> (or, if appropriate, a federal court located within [</w:t>
      </w:r>
      <w:r>
        <w:rPr>
          <w:highlight w:val="yellow"/>
        </w:rPr>
        <w:t>____________</w:t>
      </w:r>
      <w:r>
        <w:t xml:space="preserve">]), and the Company and the Employee each consents to the jurisdiction of such </w:t>
      </w:r>
      <w:r w:rsidRPr="00B9385E">
        <w:t>a court. The Company and the Employee each hereby irrevocably waive any right to a trial by jury in any action, suit or other legal proceeding arising under or relating to any provision of this Agreement.</w:t>
      </w:r>
    </w:p>
    <w:p w14:paraId="441599A0" w14:textId="77777777" w:rsidR="008C5344" w:rsidRDefault="008C5344" w:rsidP="00032B33">
      <w:pPr>
        <w:pStyle w:val="Heading2"/>
        <w:jc w:val="both"/>
      </w:pPr>
      <w:r>
        <w:rPr>
          <w:u w:val="single"/>
        </w:rPr>
        <w:t>Entire Agreement; Amendment</w:t>
      </w:r>
      <w:r>
        <w:t xml:space="preserve">.  This Agreement supersedes all prior agreements, written or oral, between the Employee and the Company relating to the subject matter of this Agreement.  This Agreement may not be modified, </w:t>
      </w:r>
      <w:proofErr w:type="gramStart"/>
      <w:r>
        <w:t>changed</w:t>
      </w:r>
      <w:proofErr w:type="gramEnd"/>
      <w:r>
        <w:t xml:space="preserve"> or discharged in whole or in </w:t>
      </w:r>
      <w:r>
        <w:lastRenderedPageBreak/>
        <w:t xml:space="preserve">part, except by an agreement in writing signed by the Employee and the Company.  The Employee agrees that any change or changes in his/her duties, </w:t>
      </w:r>
      <w:proofErr w:type="gramStart"/>
      <w:r>
        <w:t>salary</w:t>
      </w:r>
      <w:proofErr w:type="gramEnd"/>
      <w:r>
        <w:t xml:space="preserve"> or compensation after the signing of this Agreement shall not affect the validity or scope of this Agreement.</w:t>
      </w:r>
    </w:p>
    <w:p w14:paraId="0BB359D5" w14:textId="77777777" w:rsidR="008C5344" w:rsidRDefault="008C5344" w:rsidP="00032B33">
      <w:pPr>
        <w:pStyle w:val="Heading2"/>
        <w:jc w:val="both"/>
      </w:pPr>
      <w:r>
        <w:rPr>
          <w:u w:val="single"/>
        </w:rPr>
        <w:t>Captions</w:t>
      </w:r>
      <w:r>
        <w:t xml:space="preserve">.  The captions of the sections of this Agreement are for convenience of reference only and in no way define, </w:t>
      </w:r>
      <w:proofErr w:type="gramStart"/>
      <w:r>
        <w:t>limit</w:t>
      </w:r>
      <w:proofErr w:type="gramEnd"/>
      <w:r>
        <w:t xml:space="preserve"> or affect the scope or substance of any section of this Agreement.</w:t>
      </w:r>
    </w:p>
    <w:p w14:paraId="7A89F786" w14:textId="77777777" w:rsidR="008C5344" w:rsidRDefault="008C5344">
      <w:pPr>
        <w:pStyle w:val="Heading2"/>
        <w:numPr>
          <w:ilvl w:val="0"/>
          <w:numId w:val="0"/>
        </w:numPr>
        <w:jc w:val="center"/>
      </w:pPr>
      <w:r>
        <w:t>[Remainder of Page Intentionally Left Blank]</w:t>
      </w:r>
    </w:p>
    <w:p w14:paraId="19E9C3E5" w14:textId="77777777" w:rsidR="008C5344" w:rsidRDefault="008C5344">
      <w:pPr>
        <w:pStyle w:val="Heading2"/>
        <w:numPr>
          <w:ilvl w:val="0"/>
          <w:numId w:val="0"/>
        </w:numPr>
        <w:rPr>
          <w:u w:val="single"/>
        </w:rPr>
        <w:sectPr w:rsidR="008C5344">
          <w:headerReference w:type="default" r:id="rId11"/>
          <w:footerReference w:type="default" r:id="rId12"/>
          <w:footerReference w:type="first" r:id="rId13"/>
          <w:pgSz w:w="12240" w:h="15840"/>
          <w:pgMar w:top="1440" w:right="1440" w:bottom="1440" w:left="1440" w:header="720" w:footer="720" w:gutter="0"/>
          <w:cols w:space="720"/>
          <w:titlePg/>
        </w:sectPr>
      </w:pPr>
    </w:p>
    <w:p w14:paraId="4DDF596B" w14:textId="77777777" w:rsidR="00B9385E" w:rsidRDefault="008C5344" w:rsidP="00B9385E">
      <w:pPr>
        <w:pStyle w:val="Heading2"/>
        <w:numPr>
          <w:ilvl w:val="0"/>
          <w:numId w:val="0"/>
        </w:numPr>
        <w:tabs>
          <w:tab w:val="clear" w:pos="2160"/>
          <w:tab w:val="left" w:pos="720"/>
        </w:tabs>
        <w:jc w:val="both"/>
      </w:pPr>
      <w:r>
        <w:lastRenderedPageBreak/>
        <w:tab/>
      </w:r>
      <w:r w:rsidR="00B9385E">
        <w:t>THE EMPLOYEE ACKNOWLEDGES THAT HE/SHE HAS CAREFULLY READ THIS AGREEMENT AND UNDERSTANDS AND AGREES TO ALL OF THE PROVISIONS IN THIS AGREEMENT.</w:t>
      </w:r>
    </w:p>
    <w:p w14:paraId="380CF78B" w14:textId="42209C0E" w:rsidR="008C5344" w:rsidRDefault="008C5344">
      <w:pPr>
        <w:pStyle w:val="Heading2"/>
        <w:numPr>
          <w:ilvl w:val="0"/>
          <w:numId w:val="0"/>
        </w:numPr>
        <w:tabs>
          <w:tab w:val="clear" w:pos="2160"/>
          <w:tab w:val="left" w:pos="720"/>
        </w:tabs>
      </w:pPr>
    </w:p>
    <w:p w14:paraId="648150AF" w14:textId="77777777" w:rsidR="008C5344" w:rsidRPr="00032B33" w:rsidRDefault="008C5344" w:rsidP="00032B33">
      <w:pPr>
        <w:spacing w:before="480"/>
        <w:ind w:left="4680"/>
        <w:rPr>
          <w:b/>
          <w:szCs w:val="24"/>
          <w:lang w:eastAsia="ko-KR"/>
        </w:rPr>
      </w:pPr>
      <w:r w:rsidRPr="00032B33">
        <w:rPr>
          <w:b/>
          <w:szCs w:val="24"/>
          <w:lang w:eastAsia="ko-KR"/>
        </w:rPr>
        <w:t>COMPANY:</w:t>
      </w:r>
    </w:p>
    <w:p w14:paraId="50012476" w14:textId="77777777" w:rsidR="008C5344" w:rsidRPr="00032B33" w:rsidRDefault="008C5344" w:rsidP="00032B33">
      <w:pPr>
        <w:spacing w:before="240"/>
        <w:ind w:left="4680"/>
        <w:rPr>
          <w:b/>
          <w:szCs w:val="24"/>
          <w:lang w:eastAsia="ko-KR"/>
        </w:rPr>
      </w:pPr>
      <w:r w:rsidRPr="00032B33">
        <w:rPr>
          <w:b/>
          <w:szCs w:val="24"/>
          <w:lang w:eastAsia="ko-KR"/>
        </w:rPr>
        <w:t>[</w:t>
      </w:r>
      <w:r w:rsidRPr="00032B33">
        <w:rPr>
          <w:b/>
          <w:szCs w:val="24"/>
          <w:highlight w:val="yellow"/>
          <w:lang w:eastAsia="ko-KR"/>
        </w:rPr>
        <w:t>COMPANY NAME, INC.</w:t>
      </w:r>
      <w:r w:rsidRPr="00032B33">
        <w:rPr>
          <w:b/>
          <w:szCs w:val="24"/>
          <w:lang w:eastAsia="ko-KR"/>
        </w:rPr>
        <w:t>]</w:t>
      </w:r>
    </w:p>
    <w:p w14:paraId="56E0A95E" w14:textId="77777777" w:rsidR="008C5344" w:rsidRPr="00032B33" w:rsidRDefault="008C5344" w:rsidP="00032B33">
      <w:pPr>
        <w:spacing w:before="480"/>
        <w:ind w:left="5040" w:hanging="360"/>
        <w:rPr>
          <w:szCs w:val="24"/>
          <w:lang w:eastAsia="ko-KR"/>
        </w:rPr>
      </w:pPr>
      <w:r w:rsidRPr="00032B33">
        <w:rPr>
          <w:szCs w:val="24"/>
          <w:lang w:eastAsia="ko-KR"/>
        </w:rPr>
        <w:t>By:</w:t>
      </w:r>
      <w:r w:rsidRPr="00032B33">
        <w:rPr>
          <w:szCs w:val="24"/>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br/>
      </w:r>
      <w:r w:rsidRPr="00032B33">
        <w:rPr>
          <w:szCs w:val="24"/>
          <w:lang w:eastAsia="ko-KR"/>
        </w:rPr>
        <w:t>Name:</w:t>
      </w:r>
      <w:r w:rsidRPr="00032B33">
        <w:rPr>
          <w:szCs w:val="24"/>
          <w:u w:val="single"/>
          <w:lang w:eastAsia="ko-KR"/>
        </w:rPr>
        <w:t xml:space="preserve"> </w:t>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br/>
      </w:r>
      <w:r w:rsidRPr="00032B33">
        <w:rPr>
          <w:szCs w:val="24"/>
          <w:lang w:eastAsia="ko-KR"/>
        </w:rPr>
        <w:t>Title:</w:t>
      </w:r>
      <w:r w:rsidRPr="00032B33">
        <w:rPr>
          <w:szCs w:val="24"/>
          <w:u w:val="single"/>
          <w:lang w:eastAsia="ko-KR"/>
        </w:rPr>
        <w:t xml:space="preserve"> </w:t>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tab/>
      </w:r>
      <w:r w:rsidRPr="00032B33">
        <w:rPr>
          <w:szCs w:val="24"/>
          <w:u w:val="single"/>
          <w:lang w:eastAsia="ko-KR"/>
        </w:rPr>
        <w:tab/>
      </w:r>
    </w:p>
    <w:p w14:paraId="03CE6793" w14:textId="77777777" w:rsidR="008C5344" w:rsidRPr="00032B33" w:rsidRDefault="008C5344" w:rsidP="00032B33">
      <w:pPr>
        <w:spacing w:before="720"/>
        <w:ind w:left="4680"/>
        <w:rPr>
          <w:b/>
          <w:szCs w:val="24"/>
          <w:lang w:eastAsia="ko-KR"/>
        </w:rPr>
      </w:pPr>
      <w:r>
        <w:rPr>
          <w:b/>
          <w:szCs w:val="24"/>
          <w:lang w:eastAsia="ko-KR"/>
        </w:rPr>
        <w:t>EMPLOYEE</w:t>
      </w:r>
      <w:r w:rsidRPr="00032B33">
        <w:rPr>
          <w:b/>
          <w:szCs w:val="24"/>
          <w:lang w:eastAsia="ko-KR"/>
        </w:rPr>
        <w:t>:</w:t>
      </w:r>
    </w:p>
    <w:p w14:paraId="20681F83" w14:textId="77777777" w:rsidR="008C5344" w:rsidRPr="00032B33" w:rsidRDefault="008C5344" w:rsidP="00032B33">
      <w:pPr>
        <w:spacing w:before="480"/>
        <w:ind w:left="4680"/>
        <w:rPr>
          <w:rFonts w:eastAsia="Malgun Gothic"/>
          <w:szCs w:val="24"/>
          <w:u w:val="single"/>
          <w:lang w:eastAsia="ko-KR"/>
        </w:rPr>
      </w:pP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lang w:eastAsia="ko-KR"/>
        </w:rPr>
        <w:br/>
        <w:t>Name:</w:t>
      </w: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u w:val="single"/>
          <w:lang w:eastAsia="ko-KR"/>
        </w:rPr>
        <w:tab/>
      </w:r>
      <w:r w:rsidRPr="00032B33">
        <w:rPr>
          <w:rFonts w:eastAsia="Malgun Gothic"/>
          <w:szCs w:val="24"/>
          <w:u w:val="single"/>
          <w:lang w:eastAsia="ko-KR"/>
        </w:rPr>
        <w:tab/>
      </w:r>
    </w:p>
    <w:sectPr w:rsidR="008C5344" w:rsidRPr="00032B3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0B43" w14:textId="77777777" w:rsidR="008C5344" w:rsidRDefault="008C5344" w:rsidP="008C5344">
      <w:r>
        <w:separator/>
      </w:r>
    </w:p>
  </w:endnote>
  <w:endnote w:type="continuationSeparator" w:id="0">
    <w:p w14:paraId="36E9C5B2" w14:textId="77777777" w:rsidR="008C5344" w:rsidRDefault="008C5344" w:rsidP="008C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A580" w14:textId="77777777" w:rsidR="008C5344" w:rsidRDefault="008C5344" w:rsidP="004A3804">
    <w:pPr>
      <w:pStyle w:val="Footer"/>
      <w:rPr>
        <w:rStyle w:val="PageNumber"/>
      </w:rPr>
    </w:pPr>
    <w:r>
      <w:tab/>
      <w:t xml:space="preserve">- </w:t>
    </w:r>
    <w:r>
      <w:rPr>
        <w:rStyle w:val="PageNumber"/>
      </w:rPr>
      <w:fldChar w:fldCharType="begin"/>
    </w:r>
    <w:r>
      <w:rPr>
        <w:rStyle w:val="PageNumber"/>
      </w:rPr>
      <w:instrText xml:space="preserve"> PAGE </w:instrText>
    </w:r>
    <w:r>
      <w:rPr>
        <w:rStyle w:val="PageNumber"/>
      </w:rPr>
      <w:fldChar w:fldCharType="separate"/>
    </w:r>
    <w:r w:rsidR="00090334">
      <w:rPr>
        <w:rStyle w:val="PageNumber"/>
        <w:noProof/>
      </w:rPr>
      <w:t>4</w:t>
    </w:r>
    <w:r>
      <w:rPr>
        <w:rStyle w:val="PageNumber"/>
      </w:rPr>
      <w:fldChar w:fldCharType="end"/>
    </w:r>
    <w:r>
      <w:rPr>
        <w:rStyle w:val="PageNumber"/>
      </w:rPr>
      <w:t xml:space="preserve"> -</w:t>
    </w:r>
  </w:p>
  <w:p w14:paraId="006A43E2" w14:textId="77777777" w:rsidR="00811083" w:rsidRDefault="00811083" w:rsidP="008C5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7F88" w14:textId="77777777" w:rsidR="008C5344" w:rsidRDefault="008C5344">
    <w:pPr>
      <w:pStyle w:val="Footer"/>
    </w:pPr>
  </w:p>
  <w:p w14:paraId="1A994079" w14:textId="77777777" w:rsidR="00811083" w:rsidRDefault="00811083" w:rsidP="008C5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3D1F" w14:textId="095986E5" w:rsidR="00811083" w:rsidRDefault="00AB27E0" w:rsidP="00090334">
    <w:pPr>
      <w:pStyle w:val="Footer"/>
      <w:jc w:val="center"/>
      <w:rPr>
        <w:rFonts w:ascii="Times New Roman Bold" w:hAnsi="Times New Roman Bold"/>
        <w:b/>
        <w:caps/>
        <w:sz w:val="20"/>
      </w:rPr>
    </w:pPr>
    <w:r w:rsidRPr="00032B33">
      <w:rPr>
        <w:rFonts w:ascii="Times New Roman Bold" w:hAnsi="Times New Roman Bold"/>
        <w:b/>
        <w:caps/>
        <w:sz w:val="20"/>
      </w:rPr>
      <w:t xml:space="preserve">Signature Page to </w:t>
    </w:r>
    <w:r w:rsidRPr="00B9385E">
      <w:rPr>
        <w:rFonts w:ascii="Times New Roman Bold" w:hAnsi="Times New Roman Bold"/>
        <w:b/>
        <w:caps/>
        <w:sz w:val="20"/>
      </w:rPr>
      <w:t>Non-Competition</w:t>
    </w:r>
    <w:r w:rsidR="003F1262" w:rsidRPr="00B9385E">
      <w:rPr>
        <w:rFonts w:ascii="Times New Roman Bold" w:hAnsi="Times New Roman Bold"/>
        <w:b/>
        <w:caps/>
        <w:sz w:val="20"/>
      </w:rPr>
      <w:t xml:space="preserve"> and N</w:t>
    </w:r>
    <w:r w:rsidR="003F1262" w:rsidRPr="00032B33">
      <w:rPr>
        <w:rFonts w:ascii="Times New Roman Bold" w:hAnsi="Times New Roman Bold"/>
        <w:b/>
        <w:caps/>
        <w:sz w:val="20"/>
      </w:rPr>
      <w:t>on-Solicitation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A567" w14:textId="77777777" w:rsidR="008C5344" w:rsidRDefault="008C5344" w:rsidP="008C5344">
      <w:r>
        <w:separator/>
      </w:r>
    </w:p>
  </w:footnote>
  <w:footnote w:type="continuationSeparator" w:id="0">
    <w:p w14:paraId="01EA1FC3" w14:textId="77777777" w:rsidR="008C5344" w:rsidRDefault="008C5344" w:rsidP="008C5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EC2E" w14:textId="77777777" w:rsidR="008C5344" w:rsidRDefault="008C5344">
    <w:pPr>
      <w:pStyle w:val="Header"/>
      <w:jc w:val="right"/>
    </w:pPr>
  </w:p>
  <w:p w14:paraId="337D7AB3" w14:textId="77777777" w:rsidR="008C5344" w:rsidRDefault="008C5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78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2A3C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501B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5605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C4326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C3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7CE2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92175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EC69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0BB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45531B"/>
    <w:multiLevelType w:val="hybridMultilevel"/>
    <w:tmpl w:val="D862B36A"/>
    <w:lvl w:ilvl="0" w:tplc="8586F69A">
      <w:start w:val="1"/>
      <w:numFmt w:val="upperLetter"/>
      <w:pStyle w:val="UKRecital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79487F"/>
    <w:multiLevelType w:val="multilevel"/>
    <w:tmpl w:val="D8143754"/>
    <w:lvl w:ilvl="0">
      <w:start w:val="1"/>
      <w:numFmt w:val="decimal"/>
      <w:pStyle w:val="Heading1"/>
      <w:lvlText w:val="%1."/>
      <w:lvlJc w:val="left"/>
      <w:pPr>
        <w:tabs>
          <w:tab w:val="num" w:pos="1440"/>
        </w:tabs>
        <w:ind w:left="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2160"/>
        </w:tabs>
        <w:ind w:left="0" w:firstLine="144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1800"/>
        </w:tabs>
        <w:ind w:left="1440" w:hanging="1440"/>
      </w:pPr>
    </w:lvl>
    <w:lvl w:ilvl="3">
      <w:start w:val="1"/>
      <w:numFmt w:val="none"/>
      <w:pStyle w:val="Heading4"/>
      <w:suff w:val="nothing"/>
      <w:lvlText w:val=""/>
      <w:lvlJc w:val="left"/>
      <w:pPr>
        <w:tabs>
          <w:tab w:val="num" w:pos="2520"/>
        </w:tabs>
        <w:ind w:left="2160" w:hanging="2160"/>
      </w:pPr>
    </w:lvl>
    <w:lvl w:ilvl="4">
      <w:start w:val="1"/>
      <w:numFmt w:val="none"/>
      <w:pStyle w:val="Heading5"/>
      <w:suff w:val="nothing"/>
      <w:lvlText w:val=""/>
      <w:lvlJc w:val="left"/>
      <w:pPr>
        <w:tabs>
          <w:tab w:val="num" w:pos="3240"/>
        </w:tabs>
        <w:ind w:left="2880" w:hanging="2880"/>
      </w:pPr>
    </w:lvl>
    <w:lvl w:ilvl="5">
      <w:start w:val="1"/>
      <w:numFmt w:val="none"/>
      <w:pStyle w:val="Heading6"/>
      <w:suff w:val="nothing"/>
      <w:lvlText w:val=""/>
      <w:lvlJc w:val="left"/>
      <w:pPr>
        <w:tabs>
          <w:tab w:val="num" w:pos="3960"/>
        </w:tabs>
        <w:ind w:left="3600" w:hanging="3600"/>
      </w:pPr>
    </w:lvl>
    <w:lvl w:ilvl="6">
      <w:start w:val="1"/>
      <w:numFmt w:val="none"/>
      <w:pStyle w:val="Heading7"/>
      <w:suff w:val="nothing"/>
      <w:lvlText w:val=""/>
      <w:lvlJc w:val="left"/>
      <w:pPr>
        <w:tabs>
          <w:tab w:val="num" w:pos="4680"/>
        </w:tabs>
        <w:ind w:left="4320" w:hanging="4320"/>
      </w:pPr>
    </w:lvl>
    <w:lvl w:ilvl="7">
      <w:start w:val="1"/>
      <w:numFmt w:val="none"/>
      <w:pStyle w:val="Heading8"/>
      <w:suff w:val="nothing"/>
      <w:lvlText w:val=""/>
      <w:lvlJc w:val="left"/>
      <w:pPr>
        <w:tabs>
          <w:tab w:val="num" w:pos="5400"/>
        </w:tabs>
        <w:ind w:left="5040" w:hanging="5040"/>
      </w:pPr>
    </w:lvl>
    <w:lvl w:ilvl="8">
      <w:start w:val="1"/>
      <w:numFmt w:val="none"/>
      <w:pStyle w:val="Heading9"/>
      <w:suff w:val="nothing"/>
      <w:lvlText w:val=""/>
      <w:lvlJc w:val="left"/>
      <w:pPr>
        <w:tabs>
          <w:tab w:val="num" w:pos="6120"/>
        </w:tabs>
        <w:ind w:left="5760" w:hanging="5760"/>
      </w:pPr>
    </w:lvl>
  </w:abstractNum>
  <w:abstractNum w:abstractNumId="12" w15:restartNumberingAfterBreak="0">
    <w:nsid w:val="694C52D2"/>
    <w:multiLevelType w:val="hybridMultilevel"/>
    <w:tmpl w:val="90244F3A"/>
    <w:lvl w:ilvl="0" w:tplc="F03CE73C">
      <w:start w:val="1"/>
      <w:numFmt w:val="decimal"/>
      <w:pStyle w:val="UKParties"/>
      <w:lvlText w:val="(%1)"/>
      <w:lvlJc w:val="left"/>
      <w:pPr>
        <w:tabs>
          <w:tab w:val="num" w:pos="720"/>
        </w:tabs>
        <w:ind w:left="72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4768261">
    <w:abstractNumId w:val="8"/>
  </w:num>
  <w:num w:numId="2" w16cid:durableId="19749551">
    <w:abstractNumId w:val="12"/>
  </w:num>
  <w:num w:numId="3" w16cid:durableId="2030327848">
    <w:abstractNumId w:val="10"/>
  </w:num>
  <w:num w:numId="4" w16cid:durableId="1446003439">
    <w:abstractNumId w:val="11"/>
  </w:num>
  <w:num w:numId="5" w16cid:durableId="1358853901">
    <w:abstractNumId w:val="11"/>
  </w:num>
  <w:num w:numId="6" w16cid:durableId="1576277568">
    <w:abstractNumId w:val="11"/>
  </w:num>
  <w:num w:numId="7" w16cid:durableId="436099827">
    <w:abstractNumId w:val="11"/>
  </w:num>
  <w:num w:numId="8" w16cid:durableId="243953890">
    <w:abstractNumId w:val="11"/>
  </w:num>
  <w:num w:numId="9" w16cid:durableId="417291704">
    <w:abstractNumId w:val="11"/>
  </w:num>
  <w:num w:numId="10" w16cid:durableId="2137285888">
    <w:abstractNumId w:val="11"/>
  </w:num>
  <w:num w:numId="11" w16cid:durableId="466706715">
    <w:abstractNumId w:val="11"/>
  </w:num>
  <w:num w:numId="12" w16cid:durableId="1877815291">
    <w:abstractNumId w:val="11"/>
  </w:num>
  <w:num w:numId="13" w16cid:durableId="1477449716">
    <w:abstractNumId w:val="11"/>
  </w:num>
  <w:num w:numId="14" w16cid:durableId="486558291">
    <w:abstractNumId w:val="11"/>
  </w:num>
  <w:num w:numId="15" w16cid:durableId="1283802987">
    <w:abstractNumId w:val="7"/>
  </w:num>
  <w:num w:numId="16" w16cid:durableId="1597247380">
    <w:abstractNumId w:val="6"/>
  </w:num>
  <w:num w:numId="17" w16cid:durableId="1950232870">
    <w:abstractNumId w:val="5"/>
  </w:num>
  <w:num w:numId="18" w16cid:durableId="1051273394">
    <w:abstractNumId w:val="4"/>
  </w:num>
  <w:num w:numId="19" w16cid:durableId="1396585435">
    <w:abstractNumId w:val="9"/>
  </w:num>
  <w:num w:numId="20" w16cid:durableId="519702518">
    <w:abstractNumId w:val="3"/>
  </w:num>
  <w:num w:numId="21" w16cid:durableId="674722391">
    <w:abstractNumId w:val="2"/>
  </w:num>
  <w:num w:numId="22" w16cid:durableId="308949713">
    <w:abstractNumId w:val="1"/>
  </w:num>
  <w:num w:numId="23" w16cid:durableId="1445271771">
    <w:abstractNumId w:val="0"/>
  </w:num>
  <w:num w:numId="24" w16cid:durableId="1106003530">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X97_1" w:val="nncmp_ag.wpf"/>
    <w:docVar w:name="DOCX97_10" w:val="7/23/99 1:19:28 PM"/>
    <w:docVar w:name="DOCX97_11" w:val="9393"/>
    <w:docVar w:name="DOCX97_2" w:val="w:\docx97\hd_source\judy\nncmp_ag.wpf"/>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YesHorizAdv"/>
    <w:docVar w:name="DOCX97_35" w:val="YesVerticalAdv"/>
    <w:docVar w:name="DOCX97_36" w:val="YesNumbers"/>
    <w:docVar w:name="DOCX97_39" w:val="NoTOC"/>
    <w:docVar w:name="DOCX97_4" w:val="w:\docx97\hd_target\judy\nncmp_ag.wpf"/>
    <w:docVar w:name="SWActiveDesign" w:val="Heading"/>
    <w:docVar w:name="SWAllDesigns" w:val="Heading|"/>
    <w:docVar w:name="SWAllLineBreaks" w:val="Heading~~0|0|0|0|0|0|0|0|0|@@"/>
    <w:docVar w:name="SWDocIDDate" w:val="0"/>
    <w:docVar w:name="SWDocIDLayout" w:val="1"/>
    <w:docVar w:name="SWDocIDLocation" w:val="1"/>
    <w:docVar w:name="SWInitialSave" w:val="-1"/>
  </w:docVars>
  <w:rsids>
    <w:rsidRoot w:val="008C12DA"/>
    <w:rsid w:val="00032B33"/>
    <w:rsid w:val="00090334"/>
    <w:rsid w:val="000C485C"/>
    <w:rsid w:val="00126E48"/>
    <w:rsid w:val="001A35E8"/>
    <w:rsid w:val="001D5C42"/>
    <w:rsid w:val="002E1971"/>
    <w:rsid w:val="002E34D7"/>
    <w:rsid w:val="0030002B"/>
    <w:rsid w:val="00362FDE"/>
    <w:rsid w:val="003D3E70"/>
    <w:rsid w:val="003F1262"/>
    <w:rsid w:val="004A3804"/>
    <w:rsid w:val="004A3A3E"/>
    <w:rsid w:val="00577074"/>
    <w:rsid w:val="005A49F1"/>
    <w:rsid w:val="007D20A8"/>
    <w:rsid w:val="00811083"/>
    <w:rsid w:val="0085556B"/>
    <w:rsid w:val="008C12DA"/>
    <w:rsid w:val="008C5344"/>
    <w:rsid w:val="009B4C3D"/>
    <w:rsid w:val="009D7E89"/>
    <w:rsid w:val="00A05C1D"/>
    <w:rsid w:val="00A9242C"/>
    <w:rsid w:val="00AB27E0"/>
    <w:rsid w:val="00B9385E"/>
    <w:rsid w:val="00BC3DCD"/>
    <w:rsid w:val="00CA6508"/>
    <w:rsid w:val="00D0065F"/>
    <w:rsid w:val="00D25A84"/>
    <w:rsid w:val="00F911CA"/>
    <w:rsid w:val="00FD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DA95518"/>
  <w15:docId w15:val="{B8AA0EDB-807E-4114-AE19-B1CD6D11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1"/>
    <w:basedOn w:val="Normal"/>
    <w:qFormat/>
    <w:pPr>
      <w:numPr>
        <w:numId w:val="6"/>
      </w:numPr>
      <w:tabs>
        <w:tab w:val="left" w:pos="1440"/>
      </w:tabs>
      <w:spacing w:after="240"/>
      <w:outlineLvl w:val="0"/>
    </w:pPr>
    <w:rPr>
      <w:snapToGrid w:val="0"/>
      <w:kern w:val="28"/>
    </w:rPr>
  </w:style>
  <w:style w:type="paragraph" w:styleId="Heading2">
    <w:name w:val="heading 2"/>
    <w:aliases w:val="2"/>
    <w:basedOn w:val="Normal"/>
    <w:qFormat/>
    <w:pPr>
      <w:numPr>
        <w:ilvl w:val="1"/>
        <w:numId w:val="7"/>
      </w:numPr>
      <w:tabs>
        <w:tab w:val="left" w:pos="2160"/>
      </w:tabs>
      <w:spacing w:after="240"/>
      <w:outlineLvl w:val="1"/>
    </w:pPr>
    <w:rPr>
      <w:snapToGrid w:val="0"/>
    </w:rPr>
  </w:style>
  <w:style w:type="paragraph" w:styleId="Heading3">
    <w:name w:val="heading 3"/>
    <w:aliases w:val="3"/>
    <w:basedOn w:val="Normal"/>
    <w:next w:val="Normal"/>
    <w:qFormat/>
    <w:pPr>
      <w:numPr>
        <w:ilvl w:val="2"/>
        <w:numId w:val="8"/>
      </w:numPr>
      <w:spacing w:after="240"/>
      <w:ind w:firstLine="0"/>
      <w:outlineLvl w:val="2"/>
    </w:pPr>
    <w:rPr>
      <w:b/>
      <w:u w:val="single"/>
    </w:rPr>
  </w:style>
  <w:style w:type="paragraph" w:styleId="Heading4">
    <w:name w:val="heading 4"/>
    <w:aliases w:val="4"/>
    <w:basedOn w:val="Normal"/>
    <w:next w:val="Normal"/>
    <w:qFormat/>
    <w:pPr>
      <w:numPr>
        <w:ilvl w:val="3"/>
        <w:numId w:val="9"/>
      </w:numPr>
      <w:spacing w:after="240"/>
      <w:ind w:firstLine="0"/>
      <w:outlineLvl w:val="3"/>
    </w:pPr>
    <w:rPr>
      <w:b/>
      <w:i/>
    </w:rPr>
  </w:style>
  <w:style w:type="paragraph" w:styleId="Heading5">
    <w:name w:val="heading 5"/>
    <w:aliases w:val="5"/>
    <w:basedOn w:val="Normal"/>
    <w:next w:val="Normal"/>
    <w:qFormat/>
    <w:pPr>
      <w:numPr>
        <w:ilvl w:val="4"/>
        <w:numId w:val="10"/>
      </w:numPr>
      <w:spacing w:after="240"/>
      <w:ind w:firstLine="0"/>
      <w:outlineLvl w:val="4"/>
    </w:pPr>
    <w:rPr>
      <w:i/>
    </w:rPr>
  </w:style>
  <w:style w:type="paragraph" w:styleId="Heading6">
    <w:name w:val="heading 6"/>
    <w:aliases w:val="6"/>
    <w:basedOn w:val="Normal"/>
    <w:next w:val="Normal"/>
    <w:qFormat/>
    <w:pPr>
      <w:numPr>
        <w:ilvl w:val="5"/>
        <w:numId w:val="11"/>
      </w:numPr>
      <w:spacing w:after="240"/>
      <w:ind w:firstLine="0"/>
      <w:outlineLvl w:val="5"/>
    </w:pPr>
    <w:rPr>
      <w:u w:val="single"/>
    </w:rPr>
  </w:style>
  <w:style w:type="paragraph" w:styleId="Heading7">
    <w:name w:val="heading 7"/>
    <w:aliases w:val="7"/>
    <w:basedOn w:val="Normal"/>
    <w:next w:val="Normal"/>
    <w:qFormat/>
    <w:pPr>
      <w:numPr>
        <w:ilvl w:val="6"/>
        <w:numId w:val="12"/>
      </w:numPr>
      <w:spacing w:after="240"/>
      <w:ind w:firstLine="0"/>
      <w:outlineLvl w:val="6"/>
    </w:pPr>
    <w:rPr>
      <w:i/>
      <w:u w:val="single"/>
    </w:rPr>
  </w:style>
  <w:style w:type="paragraph" w:styleId="Heading8">
    <w:name w:val="heading 8"/>
    <w:aliases w:val="8"/>
    <w:basedOn w:val="Normal"/>
    <w:next w:val="Normal"/>
    <w:qFormat/>
    <w:pPr>
      <w:numPr>
        <w:ilvl w:val="7"/>
        <w:numId w:val="13"/>
      </w:numPr>
      <w:spacing w:after="240"/>
      <w:ind w:firstLine="0"/>
      <w:outlineLvl w:val="7"/>
    </w:pPr>
    <w:rPr>
      <w:b/>
      <w:i/>
    </w:rPr>
  </w:style>
  <w:style w:type="paragraph" w:styleId="Heading9">
    <w:name w:val="heading 9"/>
    <w:aliases w:val="9"/>
    <w:basedOn w:val="Normal"/>
    <w:next w:val="Normal"/>
    <w:qFormat/>
    <w:pPr>
      <w:numPr>
        <w:ilvl w:val="8"/>
        <w:numId w:val="14"/>
      </w:numPr>
      <w:spacing w:after="240"/>
      <w:ind w:firstLin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
    <w:name w:val="Body Text Indent"/>
    <w:basedOn w:val="Normal"/>
    <w:pPr>
      <w:spacing w:after="240"/>
      <w:ind w:left="720"/>
    </w:pPr>
  </w:style>
  <w:style w:type="paragraph" w:styleId="BodyTextFirstIndent2">
    <w:name w:val="Body Text First Indent 2"/>
    <w:basedOn w:val="BodyTextIndent"/>
    <w:pPr>
      <w:spacing w:after="0" w:line="480" w:lineRule="auto"/>
      <w:ind w:left="0" w:firstLine="720"/>
    </w:pPr>
  </w:style>
  <w:style w:type="paragraph" w:styleId="BodyText">
    <w:name w:val="Body Text"/>
    <w:basedOn w:val="Normal"/>
    <w:pPr>
      <w:spacing w:after="240"/>
    </w:pPr>
  </w:style>
  <w:style w:type="paragraph" w:styleId="BodyTextFirstIndent">
    <w:name w:val="Body Text First Indent"/>
    <w:basedOn w:val="BodyText"/>
    <w:pPr>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120" w:line="360" w:lineRule="auto"/>
      <w:ind w:left="72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rPr>
      <w:color w:val="800080"/>
      <w:u w:val="single"/>
    </w:rPr>
  </w:style>
  <w:style w:type="paragraph" w:styleId="Footer">
    <w:name w:val="footer"/>
    <w:basedOn w:val="Normal"/>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680"/>
        <w:tab w:val="right" w:pos="9360"/>
      </w:tabs>
    </w:p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2">
    <w:name w:val="List 2"/>
    <w:basedOn w:val="Normal"/>
    <w:pPr>
      <w:spacing w:after="240"/>
      <w:ind w:left="720" w:hanging="360"/>
    </w:pPr>
  </w:style>
  <w:style w:type="paragraph" w:styleId="List3">
    <w:name w:val="List 3"/>
    <w:basedOn w:val="Normal"/>
    <w:pPr>
      <w:spacing w:after="240"/>
      <w:ind w:left="1080" w:hanging="360"/>
    </w:pPr>
  </w:style>
  <w:style w:type="paragraph" w:styleId="List4">
    <w:name w:val="List 4"/>
    <w:basedOn w:val="Normal"/>
    <w:pPr>
      <w:spacing w:after="240"/>
      <w:ind w:left="1440" w:hanging="360"/>
    </w:pPr>
  </w:style>
  <w:style w:type="paragraph" w:styleId="List5">
    <w:name w:val="List 5"/>
    <w:basedOn w:val="Normal"/>
    <w:pPr>
      <w:spacing w:after="240"/>
      <w:ind w:left="1800" w:hanging="360"/>
    </w:pPr>
  </w:style>
  <w:style w:type="paragraph" w:styleId="ListBullet2">
    <w:name w:val="List Bullet 2"/>
    <w:basedOn w:val="Normal"/>
    <w:pPr>
      <w:numPr>
        <w:numId w:val="15"/>
      </w:numPr>
      <w:spacing w:after="240"/>
    </w:pPr>
  </w:style>
  <w:style w:type="paragraph" w:styleId="ListBullet3">
    <w:name w:val="List Bullet 3"/>
    <w:basedOn w:val="Normal"/>
    <w:pPr>
      <w:numPr>
        <w:numId w:val="16"/>
      </w:numPr>
    </w:pPr>
  </w:style>
  <w:style w:type="paragraph" w:styleId="ListBullet4">
    <w:name w:val="List Bullet 4"/>
    <w:basedOn w:val="Normal"/>
    <w:pPr>
      <w:numPr>
        <w:numId w:val="17"/>
      </w:numPr>
      <w:spacing w:after="240"/>
    </w:pPr>
  </w:style>
  <w:style w:type="paragraph" w:styleId="ListBullet5">
    <w:name w:val="List Bullet 5"/>
    <w:basedOn w:val="Normal"/>
    <w:pPr>
      <w:numPr>
        <w:numId w:val="18"/>
      </w:numPr>
      <w:spacing w:after="240"/>
    </w:pPr>
  </w:style>
  <w:style w:type="paragraph" w:styleId="ListBullet">
    <w:name w:val="List Bullet"/>
    <w:basedOn w:val="Normal"/>
    <w:pPr>
      <w:numPr>
        <w:numId w:val="19"/>
      </w:numPr>
      <w:spacing w:after="24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Continue">
    <w:name w:val="List Continue"/>
    <w:basedOn w:val="Normal"/>
    <w:pPr>
      <w:spacing w:after="240"/>
      <w:ind w:left="360"/>
    </w:pPr>
  </w:style>
  <w:style w:type="paragraph" w:styleId="ListNumber2">
    <w:name w:val="List Number 2"/>
    <w:basedOn w:val="Normal"/>
    <w:pPr>
      <w:numPr>
        <w:numId w:val="20"/>
      </w:numPr>
      <w:spacing w:after="240"/>
    </w:pPr>
  </w:style>
  <w:style w:type="paragraph" w:styleId="ListNumber3">
    <w:name w:val="List Number 3"/>
    <w:basedOn w:val="Normal"/>
    <w:pPr>
      <w:numPr>
        <w:numId w:val="21"/>
      </w:numPr>
      <w:spacing w:after="240"/>
    </w:pPr>
  </w:style>
  <w:style w:type="paragraph" w:styleId="ListNumber4">
    <w:name w:val="List Number 4"/>
    <w:basedOn w:val="Normal"/>
    <w:pPr>
      <w:numPr>
        <w:numId w:val="22"/>
      </w:numPr>
      <w:spacing w:after="240"/>
    </w:pPr>
  </w:style>
  <w:style w:type="paragraph" w:styleId="ListNumber5">
    <w:name w:val="List Number 5"/>
    <w:basedOn w:val="Normal"/>
    <w:pPr>
      <w:numPr>
        <w:numId w:val="23"/>
      </w:numPr>
      <w:spacing w:after="240"/>
    </w:pPr>
  </w:style>
  <w:style w:type="paragraph" w:styleId="ListNumber">
    <w:name w:val="List Number"/>
    <w:basedOn w:val="Normal"/>
    <w:pPr>
      <w:numPr>
        <w:numId w:val="24"/>
      </w:numPr>
      <w:tabs>
        <w:tab w:val="clear" w:pos="360"/>
      </w:tabs>
      <w:spacing w:after="240"/>
      <w:ind w:left="720" w:hanging="720"/>
    </w:pPr>
  </w:style>
  <w:style w:type="paragraph" w:styleId="List">
    <w:name w:val="List"/>
    <w:basedOn w:val="Normal"/>
    <w:pPr>
      <w:spacing w:after="240"/>
      <w:ind w:left="36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rPr>
  </w:style>
  <w:style w:type="paragraph" w:styleId="Subtitle">
    <w:name w:val="Subtitle"/>
    <w:basedOn w:val="Normal"/>
    <w:qFormat/>
    <w:pPr>
      <w:spacing w:after="240"/>
      <w:jc w:val="center"/>
      <w:outlineLvl w:val="1"/>
    </w:pPr>
    <w:rPr>
      <w:u w:val="single"/>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after="240"/>
      <w:jc w:val="center"/>
      <w:outlineLvl w:val="0"/>
    </w:pPr>
    <w:rPr>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UKDefinitionsIndent">
    <w:name w:val="UK Definitions/Indent"/>
    <w:basedOn w:val="Normal"/>
    <w:pPr>
      <w:widowControl w:val="0"/>
      <w:spacing w:after="240"/>
      <w:ind w:left="720"/>
      <w:jc w:val="both"/>
    </w:pPr>
    <w:rPr>
      <w:szCs w:val="24"/>
    </w:rPr>
  </w:style>
  <w:style w:type="paragraph" w:customStyle="1" w:styleId="UKParties">
    <w:name w:val="UK Parties"/>
    <w:basedOn w:val="Normal"/>
    <w:pPr>
      <w:widowControl w:val="0"/>
      <w:numPr>
        <w:numId w:val="2"/>
      </w:numPr>
      <w:spacing w:after="240"/>
      <w:jc w:val="both"/>
    </w:pPr>
    <w:rPr>
      <w:szCs w:val="24"/>
    </w:rPr>
  </w:style>
  <w:style w:type="paragraph" w:customStyle="1" w:styleId="UKRecitals">
    <w:name w:val="UK Recitals"/>
    <w:basedOn w:val="Normal"/>
    <w:pPr>
      <w:widowControl w:val="0"/>
      <w:numPr>
        <w:numId w:val="3"/>
      </w:numPr>
      <w:spacing w:after="240"/>
      <w:jc w:val="both"/>
    </w:pPr>
    <w:rPr>
      <w:szCs w:val="24"/>
    </w:rPr>
  </w:style>
  <w:style w:type="paragraph" w:customStyle="1" w:styleId="DocX97Comment">
    <w:name w:val="DocX97Comment"/>
    <w:basedOn w:val="Normal"/>
    <w:rPr>
      <w:b/>
      <w:i/>
      <w:color w:val="FF0000"/>
      <w:sz w:val="16"/>
    </w:rPr>
  </w:style>
  <w:style w:type="paragraph" w:customStyle="1" w:styleId="EndnoteTextMore">
    <w:name w:val="Endnote TextMore"/>
    <w:basedOn w:val="Normal"/>
    <w:pPr>
      <w:spacing w:after="240"/>
    </w:pPr>
  </w:style>
  <w:style w:type="paragraph" w:customStyle="1" w:styleId="FootnoteTextMore">
    <w:name w:val="Footnote TextMore"/>
    <w:basedOn w:val="FootnoteText"/>
    <w:pPr>
      <w:spacing w:after="240"/>
    </w:pPr>
  </w:style>
  <w:style w:type="paragraph" w:customStyle="1" w:styleId="HDDocInfo">
    <w:name w:val="HDDocInfo"/>
    <w:basedOn w:val="Normal"/>
    <w:pPr>
      <w:spacing w:before="480"/>
    </w:pPr>
    <w:rPr>
      <w:sz w:val="18"/>
    </w:rPr>
  </w:style>
  <w:style w:type="character" w:customStyle="1" w:styleId="ParaNum">
    <w:name w:val="ParaNum"/>
    <w:rPr>
      <w:b w:val="0"/>
      <w:i w:val="0"/>
      <w:vanish w:val="0"/>
      <w:u w:val="non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A068C9039A748BC8E1A6E7583C0BF" ma:contentTypeVersion="0" ma:contentTypeDescription="Create a new document." ma:contentTypeScope="" ma:versionID="a490e5c34ef0f0316272c46c53b76f9b">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 A c t i v e U S ! 1 9 8 3 8 6 9 9 0 . 2 < / d o c u m e n t i d >  
     < s e n d e r i d > 2 6 5 1 5 < / s e n d e r i d >  
     < s e n d e r e m a i l > G A R Y . S C H A L L @ W I L M E R H A L E . C O M < / s e n d e r e m a i l >  
     < l a s t m o d i f i e d > 2 0 2 3 - 0 4 - 0 7 T 1 2 : 2 2 : 0 0 . 0 0 0 0 0 0 0 - 0 4 : 0 0 < / l a s t m o d i f i e d >  
     < d a t a b a s e > A c t i v e U S < / d a t a b a s e >  
 < / p r o p e r t i e s > 
</file>

<file path=customXml/itemProps1.xml><?xml version="1.0" encoding="utf-8"?>
<ds:datastoreItem xmlns:ds="http://schemas.openxmlformats.org/officeDocument/2006/customXml" ds:itemID="{D0AE79CB-C46A-46A0-AFD9-D8A97AA4B324}">
  <ds:schemaRefs>
    <ds:schemaRef ds:uri="http://schemas.microsoft.com/sharepoint/v3/contenttype/forms"/>
  </ds:schemaRefs>
</ds:datastoreItem>
</file>

<file path=customXml/itemProps2.xml><?xml version="1.0" encoding="utf-8"?>
<ds:datastoreItem xmlns:ds="http://schemas.openxmlformats.org/officeDocument/2006/customXml" ds:itemID="{54A0CDF4-FEEE-4CAC-B298-B4F52F915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10ECAA-EDAF-4938-9532-7511BD8262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7FFE2D-B2F2-45C0-A8C7-E402DC6C898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1269</Words>
  <Characters>9201</Characters>
  <Application>Microsoft Office Word</Application>
  <DocSecurity>0</DocSecurity>
  <Lines>400</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Corbett, Marybeth</dc:creator>
  <cp:lastModifiedBy>Bulcher, Laura</cp:lastModifiedBy>
  <cp:revision>2</cp:revision>
  <dcterms:created xsi:type="dcterms:W3CDTF">2023-11-15T22:23:00Z</dcterms:created>
  <dcterms:modified xsi:type="dcterms:W3CDTF">2023-11-15T22:23:00Z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ACTIVEUS 198386990v.2</vt:lpwstr>
  </property>
  <property fmtid="{D5CDD505-2E9C-101B-9397-08002B2CF9AE}" pid="3" name="ContentTypeId">
    <vt:lpwstr>0x01010034BA068C9039A748BC8E1A6E7583C0BF</vt:lpwstr>
  </property>
  <property fmtid="{D5CDD505-2E9C-101B-9397-08002B2CF9AE}" pid="4" name="Order">
    <vt:r8>190300</vt:r8>
  </property>
  <property fmtid="{D5CDD505-2E9C-101B-9397-08002B2CF9AE}" pid="5" name="_ColorTag">
    <vt:lpwstr/>
  </property>
  <property fmtid="{D5CDD505-2E9C-101B-9397-08002B2CF9AE}" pid="6" name="_ExtendedDescription">
    <vt:lpwstr/>
  </property>
  <property fmtid="{D5CDD505-2E9C-101B-9397-08002B2CF9AE}" pid="7" name="TriggerFlowInfo">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ies>
</file>