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0A3B" w14:textId="746B7EEE" w:rsidR="00632217" w:rsidRDefault="009B4717" w:rsidP="00632217">
      <w:pPr>
        <w:pStyle w:val="FirmInsideAddress"/>
        <w:jc w:val="center"/>
        <w:rPr>
          <w:sz w:val="22"/>
          <w:szCs w:val="22"/>
        </w:rPr>
      </w:pPr>
      <w:r>
        <w:rPr>
          <w:noProof/>
          <w:sz w:val="22"/>
          <w:szCs w:val="22"/>
        </w:rPr>
        <mc:AlternateContent>
          <mc:Choice Requires="wps">
            <w:drawing>
              <wp:anchor distT="45720" distB="45720" distL="114300" distR="114300" simplePos="0" relativeHeight="251657216" behindDoc="0" locked="0" layoutInCell="1" allowOverlap="1" wp14:anchorId="5CBF4187" wp14:editId="1E0301DF">
                <wp:simplePos x="0" y="0"/>
                <wp:positionH relativeFrom="column">
                  <wp:posOffset>861695</wp:posOffset>
                </wp:positionH>
                <wp:positionV relativeFrom="paragraph">
                  <wp:posOffset>-229235</wp:posOffset>
                </wp:positionV>
                <wp:extent cx="4886325" cy="953770"/>
                <wp:effectExtent l="12065" t="12700" r="6985"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953770"/>
                        </a:xfrm>
                        <a:prstGeom prst="rect">
                          <a:avLst/>
                        </a:prstGeom>
                        <a:solidFill>
                          <a:srgbClr val="FF0000"/>
                        </a:solidFill>
                        <a:ln w="9525">
                          <a:solidFill>
                            <a:srgbClr val="000000"/>
                          </a:solidFill>
                          <a:miter lim="800000"/>
                          <a:headEnd/>
                          <a:tailEnd/>
                        </a:ln>
                      </wps:spPr>
                      <wps:txbx>
                        <w:txbxContent>
                          <w:p w14:paraId="136347B8" w14:textId="77777777" w:rsidR="00632217" w:rsidRPr="003E1F15" w:rsidRDefault="0086244C" w:rsidP="00632217">
                            <w:pPr>
                              <w:jc w:val="center"/>
                              <w:rPr>
                                <w:b/>
                                <w:u w:val="single"/>
                              </w:rPr>
                            </w:pPr>
                            <w:r>
                              <w:rPr>
                                <w:b/>
                                <w:u w:val="single"/>
                              </w:rPr>
                              <w:t>NOTE</w:t>
                            </w:r>
                          </w:p>
                          <w:p w14:paraId="62C3210D" w14:textId="77777777" w:rsidR="00632217" w:rsidRDefault="00632217" w:rsidP="00632217">
                            <w:pPr>
                              <w:widowControl w:val="0"/>
                              <w:jc w:val="center"/>
                            </w:pPr>
                            <w:r>
                              <w:rPr>
                                <w:b/>
                              </w:rPr>
                              <w:t xml:space="preserve">BEFORE USING THIS AGREEMENT, </w:t>
                            </w:r>
                            <w:r w:rsidRPr="003E1F15">
                              <w:rPr>
                                <w:b/>
                              </w:rPr>
                              <w:t xml:space="preserve">YOU ARE STRONGLY ADVISED TO CONSULT WITH A MEMBER OF WILMERHALE’S LABOR AND EMPLOYMENT GROUP TO UNDERSTAND THE OPTIONS PRESENTED AND THEIR ASSOCIATED RISKS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BF4187" id="_x0000_t202" coordsize="21600,21600" o:spt="202" path="m,l,21600r21600,l21600,xe">
                <v:stroke joinstyle="miter"/>
                <v:path gradientshapeok="t" o:connecttype="rect"/>
              </v:shapetype>
              <v:shape id="Text Box 2" o:spid="_x0000_s1026" type="#_x0000_t202" style="position:absolute;left:0;text-align:left;margin-left:67.85pt;margin-top:-18.05pt;width:384.75pt;height:75.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" fillcolor="red">
                <v:textbox>
                  <w:txbxContent>
                    <w:p w14:paraId="136347B8" w14:textId="77777777" w:rsidR="00632217" w:rsidRPr="003E1F15" w:rsidRDefault="0086244C" w:rsidP="00632217">
                      <w:pPr>
                        <w:jc w:val="center"/>
                        <w:rPr>
                          <w:b/>
                          <w:u w:val="single"/>
                        </w:rPr>
                      </w:pPr>
                      <w:r>
                        <w:rPr>
                          <w:b/>
                          <w:u w:val="single"/>
                        </w:rPr>
                        <w:t>NOTE</w:t>
                      </w:r>
                    </w:p>
                    <w:p w14:paraId="62C3210D" w14:textId="77777777" w:rsidR="00632217" w:rsidRDefault="00632217" w:rsidP="00632217">
                      <w:pPr>
                        <w:widowControl w:val="0"/>
                        <w:jc w:val="center"/>
                      </w:pPr>
                      <w:r>
                        <w:rPr>
                          <w:b/>
                        </w:rPr>
                        <w:t xml:space="preserve">BEFORE USING THIS AGREEMENT, </w:t>
                      </w:r>
                      <w:r w:rsidRPr="003E1F15">
                        <w:rPr>
                          <w:b/>
                        </w:rPr>
                        <w:t xml:space="preserve">YOU ARE STRONGLY ADVISED TO CONSULT WITH A MEMBER OF WILMERHALE’S LABOR AND EMPLOYMENT GROUP TO UNDERSTAND THE OPTIONS PRESENTED AND THEIR ASSOCIATED RISKS </w:t>
                      </w:r>
                    </w:p>
                  </w:txbxContent>
                </v:textbox>
                <w10:wrap type="square"/>
              </v:shape>
            </w:pict>
          </mc:Fallback>
        </mc:AlternateContent>
      </w:r>
    </w:p>
    <w:p w14:paraId="417B6781" w14:textId="77777777" w:rsidR="00632217" w:rsidRPr="0056406F" w:rsidRDefault="00632217" w:rsidP="00632217">
      <w:pPr>
        <w:pStyle w:val="FirmInsideAddress"/>
        <w:jc w:val="right"/>
        <w:rPr>
          <w:sz w:val="22"/>
          <w:szCs w:val="22"/>
          <w:u w:val="single"/>
        </w:rPr>
      </w:pPr>
    </w:p>
    <w:p w14:paraId="363E932F" w14:textId="77777777" w:rsidR="00632217" w:rsidRPr="0056406F" w:rsidRDefault="00632217" w:rsidP="00632217">
      <w:pPr>
        <w:pStyle w:val="Subtitle"/>
        <w:rPr>
          <w:sz w:val="22"/>
          <w:szCs w:val="22"/>
          <w:highlight w:val="yellow"/>
          <w:u w:val="single"/>
        </w:rPr>
      </w:pPr>
      <w:r w:rsidRPr="0056406F">
        <w:rPr>
          <w:sz w:val="22"/>
          <w:szCs w:val="22"/>
          <w:highlight w:val="yellow"/>
          <w:u w:val="single"/>
        </w:rPr>
        <w:t>INSTRUCTIONS FOR NON-COMPETITION AND NON-SOLICITATION AGREEMENT</w:t>
      </w:r>
    </w:p>
    <w:p w14:paraId="19A14B51" w14:textId="77777777" w:rsidR="00632217" w:rsidRPr="00E7129D" w:rsidRDefault="00632217" w:rsidP="00632217">
      <w:pPr>
        <w:pStyle w:val="Subtitle"/>
        <w:rPr>
          <w:sz w:val="22"/>
          <w:szCs w:val="22"/>
          <w:highlight w:val="yellow"/>
          <w:u w:val="single"/>
        </w:rPr>
      </w:pPr>
      <w:r w:rsidRPr="00E7129D">
        <w:rPr>
          <w:b/>
          <w:i/>
          <w:sz w:val="22"/>
          <w:szCs w:val="22"/>
          <w:highlight w:val="yellow"/>
          <w:u w:val="single"/>
        </w:rPr>
        <w:t>DEL</w:t>
      </w:r>
      <w:r>
        <w:rPr>
          <w:b/>
          <w:i/>
          <w:sz w:val="22"/>
          <w:szCs w:val="22"/>
          <w:highlight w:val="yellow"/>
          <w:u w:val="single"/>
        </w:rPr>
        <w:t>ETE THIS PAGE BEFORE DISTRIBUTI</w:t>
      </w:r>
      <w:r w:rsidRPr="00E7129D">
        <w:rPr>
          <w:b/>
          <w:i/>
          <w:sz w:val="22"/>
          <w:szCs w:val="22"/>
          <w:highlight w:val="yellow"/>
          <w:u w:val="single"/>
        </w:rPr>
        <w:t>N</w:t>
      </w:r>
      <w:r>
        <w:rPr>
          <w:b/>
          <w:i/>
          <w:sz w:val="22"/>
          <w:szCs w:val="22"/>
          <w:highlight w:val="yellow"/>
          <w:u w:val="single"/>
        </w:rPr>
        <w:t>G TO EMPLOYEE/PROSPECTIVE EMPLOYEE</w:t>
      </w:r>
    </w:p>
    <w:p w14:paraId="5BD322B6"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 xml:space="preserve">This form is intended to comply with Massachusetts’ new non-compete law that applies to agreements with non-competition restrictions </w:t>
      </w:r>
      <w:proofErr w:type="gramStart"/>
      <w:r w:rsidRPr="007B1242">
        <w:rPr>
          <w:sz w:val="22"/>
          <w:szCs w:val="22"/>
          <w:highlight w:val="yellow"/>
        </w:rPr>
        <w:t>entered into</w:t>
      </w:r>
      <w:proofErr w:type="gramEnd"/>
      <w:r w:rsidRPr="007B1242">
        <w:rPr>
          <w:sz w:val="22"/>
          <w:szCs w:val="22"/>
          <w:highlight w:val="yellow"/>
        </w:rPr>
        <w:t xml:space="preserve"> on or after </w:t>
      </w:r>
      <w:r w:rsidRPr="007B1242">
        <w:rPr>
          <w:b/>
          <w:sz w:val="22"/>
          <w:szCs w:val="22"/>
          <w:highlight w:val="yellow"/>
        </w:rPr>
        <w:t>October 1, 2018</w:t>
      </w:r>
      <w:r w:rsidRPr="007B1242">
        <w:rPr>
          <w:sz w:val="22"/>
          <w:szCs w:val="22"/>
          <w:highlight w:val="yellow"/>
        </w:rPr>
        <w:t xml:space="preserve">.   </w:t>
      </w:r>
    </w:p>
    <w:p w14:paraId="4DE79A79"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This form must be finalized (bracketed and highlighted provisions resolved</w:t>
      </w:r>
      <w:r>
        <w:rPr>
          <w:sz w:val="22"/>
          <w:szCs w:val="22"/>
          <w:highlight w:val="yellow"/>
        </w:rPr>
        <w:t xml:space="preserve"> and footnotes deleted</w:t>
      </w:r>
      <w:r w:rsidRPr="007B1242">
        <w:rPr>
          <w:sz w:val="22"/>
          <w:szCs w:val="22"/>
          <w:highlight w:val="yellow"/>
        </w:rPr>
        <w:t xml:space="preserve">) before it is provided to an employee/prospective employee.  </w:t>
      </w:r>
    </w:p>
    <w:p w14:paraId="491E058C"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 xml:space="preserve">This form should only be used for employees who live or work in Massachusetts (both protected by the law).  </w:t>
      </w:r>
    </w:p>
    <w:p w14:paraId="1FC7B3CA"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 xml:space="preserve">This form should </w:t>
      </w:r>
      <w:r w:rsidRPr="007B1242">
        <w:rPr>
          <w:b/>
          <w:sz w:val="22"/>
          <w:szCs w:val="22"/>
          <w:highlight w:val="yellow"/>
        </w:rPr>
        <w:t>not</w:t>
      </w:r>
      <w:r w:rsidRPr="007B1242">
        <w:rPr>
          <w:sz w:val="22"/>
          <w:szCs w:val="22"/>
          <w:highlight w:val="yellow"/>
        </w:rPr>
        <w:t xml:space="preserve"> be used in connection with the sale of a business in situations in which the employee is a significant owner of (or member or partner in), the business entity and will receive significant consideration or benefit from the sale.  </w:t>
      </w:r>
    </w:p>
    <w:p w14:paraId="4B48FD63"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 xml:space="preserve">A modified version of this form should be used for an independent contractor.  Please contact a member of WilmerHale’s Labor and Employment Group for an appropriately adapted agreement (understanding that including a non-competition provision in an independent contractor agreement could jeopardize the independent contractor classification).  </w:t>
      </w:r>
    </w:p>
    <w:p w14:paraId="4A2D90DC"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 xml:space="preserve">This form should </w:t>
      </w:r>
      <w:r w:rsidRPr="007B1242">
        <w:rPr>
          <w:b/>
          <w:sz w:val="22"/>
          <w:szCs w:val="22"/>
          <w:highlight w:val="yellow"/>
        </w:rPr>
        <w:t>not</w:t>
      </w:r>
      <w:r w:rsidRPr="007B1242">
        <w:rPr>
          <w:sz w:val="22"/>
          <w:szCs w:val="22"/>
          <w:highlight w:val="yellow"/>
        </w:rPr>
        <w:t xml:space="preserve"> be used for (i) non-exempt employees (i.e., those eligible for overtime), (ii) minors, or (iii) short-term interns/employees who are pursuing educational (undergraduate and graduate) degrees. </w:t>
      </w:r>
    </w:p>
    <w:p w14:paraId="511B3637"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 xml:space="preserve">Once finalized, this agreement </w:t>
      </w:r>
      <w:r w:rsidRPr="007B1242">
        <w:rPr>
          <w:b/>
          <w:sz w:val="22"/>
          <w:szCs w:val="22"/>
          <w:highlight w:val="yellow"/>
        </w:rPr>
        <w:t xml:space="preserve">must be signed by </w:t>
      </w:r>
      <w:r w:rsidRPr="007B1242">
        <w:rPr>
          <w:b/>
          <w:i/>
          <w:sz w:val="22"/>
          <w:szCs w:val="22"/>
          <w:highlight w:val="yellow"/>
        </w:rPr>
        <w:t>both</w:t>
      </w:r>
      <w:r w:rsidRPr="007B1242">
        <w:rPr>
          <w:sz w:val="22"/>
          <w:szCs w:val="22"/>
          <w:highlight w:val="yellow"/>
        </w:rPr>
        <w:t xml:space="preserve"> the Company and the Employee to be enforceable.  Don’t forget to timely countersign!</w:t>
      </w:r>
    </w:p>
    <w:p w14:paraId="1BFBC435"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 xml:space="preserve">Once finalized, this agreement must be provided to </w:t>
      </w:r>
      <w:r w:rsidRPr="007B1242">
        <w:rPr>
          <w:b/>
          <w:i/>
          <w:sz w:val="22"/>
          <w:szCs w:val="22"/>
          <w:highlight w:val="yellow"/>
        </w:rPr>
        <w:t>new</w:t>
      </w:r>
      <w:r w:rsidRPr="007B1242">
        <w:rPr>
          <w:sz w:val="22"/>
          <w:szCs w:val="22"/>
          <w:highlight w:val="yellow"/>
        </w:rPr>
        <w:t xml:space="preserve"> </w:t>
      </w:r>
      <w:r w:rsidRPr="007B1242">
        <w:rPr>
          <w:b/>
          <w:i/>
          <w:sz w:val="22"/>
          <w:szCs w:val="22"/>
          <w:highlight w:val="yellow"/>
        </w:rPr>
        <w:t>hires</w:t>
      </w:r>
      <w:r w:rsidRPr="007B1242">
        <w:rPr>
          <w:sz w:val="22"/>
          <w:szCs w:val="22"/>
          <w:highlight w:val="yellow"/>
        </w:rPr>
        <w:t xml:space="preserve"> by the </w:t>
      </w:r>
      <w:r w:rsidRPr="007B1242">
        <w:rPr>
          <w:i/>
          <w:sz w:val="22"/>
          <w:szCs w:val="22"/>
          <w:highlight w:val="yellow"/>
        </w:rPr>
        <w:t>earlier</w:t>
      </w:r>
      <w:r w:rsidRPr="007B1242">
        <w:rPr>
          <w:sz w:val="22"/>
          <w:szCs w:val="22"/>
          <w:highlight w:val="yellow"/>
        </w:rPr>
        <w:t xml:space="preserve"> of the date (x) a formal offer of employment is made, and (y) 10 business days before the Employee’s commencement of employment (</w:t>
      </w:r>
      <w:r w:rsidRPr="007B1242">
        <w:rPr>
          <w:b/>
          <w:i/>
          <w:sz w:val="22"/>
          <w:szCs w:val="22"/>
          <w:highlight w:val="yellow"/>
        </w:rPr>
        <w:t>this timing may necessitate sending out the agreement prior to extending an offer of employment</w:t>
      </w:r>
      <w:r w:rsidRPr="007B1242">
        <w:rPr>
          <w:sz w:val="22"/>
          <w:szCs w:val="22"/>
          <w:highlight w:val="yellow"/>
        </w:rPr>
        <w:t xml:space="preserve">).  </w:t>
      </w:r>
    </w:p>
    <w:p w14:paraId="24A2F222" w14:textId="77777777" w:rsidR="00632217" w:rsidRPr="007B1242" w:rsidRDefault="00632217" w:rsidP="00632217">
      <w:pPr>
        <w:pStyle w:val="Subtitle"/>
        <w:numPr>
          <w:ilvl w:val="0"/>
          <w:numId w:val="27"/>
        </w:numPr>
        <w:jc w:val="left"/>
        <w:rPr>
          <w:sz w:val="22"/>
          <w:szCs w:val="22"/>
          <w:highlight w:val="yellow"/>
        </w:rPr>
      </w:pPr>
      <w:r w:rsidRPr="007B1242">
        <w:rPr>
          <w:sz w:val="22"/>
          <w:szCs w:val="22"/>
          <w:highlight w:val="yellow"/>
        </w:rPr>
        <w:t xml:space="preserve">If provided to a </w:t>
      </w:r>
      <w:r w:rsidRPr="007B1242">
        <w:rPr>
          <w:b/>
          <w:i/>
          <w:sz w:val="22"/>
          <w:szCs w:val="22"/>
          <w:highlight w:val="yellow"/>
        </w:rPr>
        <w:t>current</w:t>
      </w:r>
      <w:r w:rsidRPr="007B1242">
        <w:rPr>
          <w:sz w:val="22"/>
          <w:szCs w:val="22"/>
          <w:highlight w:val="yellow"/>
        </w:rPr>
        <w:t xml:space="preserve"> employee: (i) this agreement must not become effective until at least </w:t>
      </w:r>
      <w:r w:rsidRPr="007B1242">
        <w:rPr>
          <w:b/>
          <w:sz w:val="22"/>
          <w:szCs w:val="22"/>
          <w:highlight w:val="yellow"/>
        </w:rPr>
        <w:t>10 business days</w:t>
      </w:r>
      <w:r w:rsidRPr="007B1242">
        <w:rPr>
          <w:sz w:val="22"/>
          <w:szCs w:val="22"/>
          <w:highlight w:val="yellow"/>
        </w:rPr>
        <w:t xml:space="preserve"> after it is so provided, and (ii) the employee must also receive “fair and reasonable” consideration in exchange for his/her execution (continued at-will employment, while it should be referenced, is not sufficient consideration).   </w:t>
      </w:r>
    </w:p>
    <w:p w14:paraId="1A2FC3C4" w14:textId="77777777" w:rsidR="00632217" w:rsidRPr="007B1242" w:rsidRDefault="00632217" w:rsidP="00632217">
      <w:pPr>
        <w:pStyle w:val="Subtitle"/>
        <w:numPr>
          <w:ilvl w:val="0"/>
          <w:numId w:val="27"/>
        </w:numPr>
        <w:spacing w:after="0"/>
        <w:jc w:val="left"/>
        <w:rPr>
          <w:b/>
          <w:sz w:val="18"/>
          <w:szCs w:val="22"/>
          <w:highlight w:val="yellow"/>
          <w:u w:val="single"/>
        </w:rPr>
      </w:pPr>
      <w:r w:rsidRPr="007B1242">
        <w:rPr>
          <w:sz w:val="22"/>
          <w:szCs w:val="22"/>
          <w:highlight w:val="yellow"/>
        </w:rPr>
        <w:t>Because some forms of consideration provided with respect to the non-compete could be subject to Internal Revenue Code Section 409A, th</w:t>
      </w:r>
      <w:r>
        <w:rPr>
          <w:sz w:val="22"/>
          <w:szCs w:val="22"/>
          <w:highlight w:val="yellow"/>
        </w:rPr>
        <w:t>is</w:t>
      </w:r>
      <w:r w:rsidRPr="007B1242">
        <w:rPr>
          <w:sz w:val="22"/>
          <w:szCs w:val="22"/>
          <w:highlight w:val="yellow"/>
        </w:rPr>
        <w:t xml:space="preserve"> form </w:t>
      </w:r>
      <w:r>
        <w:rPr>
          <w:sz w:val="22"/>
          <w:szCs w:val="22"/>
          <w:highlight w:val="yellow"/>
        </w:rPr>
        <w:t>includes a recommended</w:t>
      </w:r>
      <w:r w:rsidRPr="007B1242">
        <w:rPr>
          <w:sz w:val="22"/>
          <w:szCs w:val="22"/>
          <w:highlight w:val="yellow"/>
        </w:rPr>
        <w:t xml:space="preserve"> 409A </w:t>
      </w:r>
      <w:r>
        <w:rPr>
          <w:sz w:val="22"/>
          <w:szCs w:val="22"/>
          <w:highlight w:val="yellow"/>
        </w:rPr>
        <w:t>provision</w:t>
      </w:r>
      <w:r w:rsidRPr="007B1242">
        <w:rPr>
          <w:sz w:val="22"/>
          <w:szCs w:val="22"/>
          <w:highlight w:val="yellow"/>
        </w:rPr>
        <w:t xml:space="preserve">.   </w:t>
      </w:r>
    </w:p>
    <w:p w14:paraId="3575FFA2" w14:textId="77777777" w:rsidR="00632217" w:rsidRDefault="00632217" w:rsidP="00632217">
      <w:pPr>
        <w:pStyle w:val="Subtitle"/>
        <w:spacing w:after="0"/>
        <w:ind w:hanging="450"/>
        <w:rPr>
          <w:b/>
          <w:sz w:val="18"/>
          <w:szCs w:val="22"/>
          <w:u w:val="single"/>
        </w:rPr>
      </w:pPr>
    </w:p>
    <w:p w14:paraId="08CC876A" w14:textId="77777777" w:rsidR="00632217" w:rsidRDefault="00632217" w:rsidP="00632217">
      <w:pPr>
        <w:pStyle w:val="Subtitle"/>
        <w:tabs>
          <w:tab w:val="left" w:pos="2880"/>
          <w:tab w:val="left" w:pos="4410"/>
        </w:tabs>
        <w:spacing w:after="0"/>
        <w:ind w:hanging="450"/>
        <w:rPr>
          <w:b/>
          <w:sz w:val="16"/>
          <w:szCs w:val="22"/>
        </w:rPr>
      </w:pPr>
      <w:r w:rsidRPr="00B36C26">
        <w:rPr>
          <w:b/>
          <w:sz w:val="16"/>
          <w:szCs w:val="22"/>
        </w:rPr>
        <w:t xml:space="preserve">  </w:t>
      </w:r>
    </w:p>
    <w:p w14:paraId="297396DF" w14:textId="29EAB639" w:rsidR="00632217" w:rsidRDefault="009B4717" w:rsidP="00632217">
      <w:pPr>
        <w:pStyle w:val="Subtitle"/>
        <w:tabs>
          <w:tab w:val="left" w:pos="2880"/>
          <w:tab w:val="left" w:pos="4410"/>
        </w:tabs>
        <w:spacing w:after="0"/>
        <w:ind w:hanging="450"/>
        <w:rPr>
          <w:b/>
          <w:sz w:val="16"/>
          <w:szCs w:val="22"/>
        </w:rPr>
      </w:pPr>
      <w:r>
        <w:rPr>
          <w:b/>
          <w:noProof/>
          <w:sz w:val="18"/>
          <w:szCs w:val="22"/>
          <w:u w:val="single"/>
        </w:rPr>
        <mc:AlternateContent>
          <mc:Choice Requires="wps">
            <w:drawing>
              <wp:anchor distT="0" distB="0" distL="114300" distR="114300" simplePos="0" relativeHeight="251658240" behindDoc="0" locked="0" layoutInCell="1" allowOverlap="1" wp14:anchorId="3041CECE" wp14:editId="3A13EFFE">
                <wp:simplePos x="0" y="0"/>
                <wp:positionH relativeFrom="column">
                  <wp:posOffset>24130</wp:posOffset>
                </wp:positionH>
                <wp:positionV relativeFrom="paragraph">
                  <wp:posOffset>53340</wp:posOffset>
                </wp:positionV>
                <wp:extent cx="6265545" cy="0"/>
                <wp:effectExtent l="12700" t="5715" r="8255"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3C55B" id="_x0000_t32" coordsize="21600,21600" o:spt="32" o:oned="t" path="m,l21600,21600e" filled="f">
                <v:path arrowok="t" fillok="f" o:connecttype="none"/>
                <o:lock v:ext="edit" shapetype="t"/>
              </v:shapetype>
              <v:shape id="AutoShape 9" o:spid="_x0000_s1026" type="#_x0000_t32" style="position:absolute;margin-left:1.9pt;margin-top:4.2pt;width:493.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"/>
            </w:pict>
          </mc:Fallback>
        </mc:AlternateContent>
      </w:r>
    </w:p>
    <w:p w14:paraId="526FA6AD" w14:textId="77777777" w:rsidR="00632217" w:rsidRPr="00B36C26" w:rsidRDefault="00632217" w:rsidP="00632217">
      <w:pPr>
        <w:pStyle w:val="Subtitle"/>
        <w:tabs>
          <w:tab w:val="left" w:pos="2880"/>
          <w:tab w:val="left" w:pos="4410"/>
        </w:tabs>
        <w:spacing w:after="0"/>
        <w:ind w:hanging="450"/>
        <w:rPr>
          <w:b/>
          <w:sz w:val="16"/>
          <w:szCs w:val="22"/>
          <w:u w:val="single"/>
        </w:rPr>
      </w:pPr>
      <w:r w:rsidRPr="00B36C26">
        <w:rPr>
          <w:b/>
          <w:sz w:val="16"/>
          <w:szCs w:val="22"/>
        </w:rPr>
        <w:t xml:space="preserve"> </w:t>
      </w:r>
      <w:r w:rsidRPr="00B36C26">
        <w:rPr>
          <w:b/>
          <w:sz w:val="16"/>
          <w:szCs w:val="22"/>
          <w:u w:val="single"/>
        </w:rPr>
        <w:t>LABOR AND EMPLOYMENT GROUP</w:t>
      </w:r>
    </w:p>
    <w:p w14:paraId="205A277F" w14:textId="77777777" w:rsidR="00632217" w:rsidRPr="00B36C26" w:rsidRDefault="00632217" w:rsidP="00632217">
      <w:pPr>
        <w:pStyle w:val="Subtitle"/>
        <w:tabs>
          <w:tab w:val="left" w:pos="4140"/>
        </w:tabs>
        <w:spacing w:after="120"/>
        <w:ind w:left="360"/>
        <w:rPr>
          <w:sz w:val="20"/>
          <w:szCs w:val="22"/>
        </w:rPr>
        <w:sectPr w:rsidR="00632217" w:rsidRPr="00B36C26" w:rsidSect="007B1242">
          <w:headerReference w:type="default" r:id="rId12"/>
          <w:footerReference w:type="default" r:id="rId13"/>
          <w:headerReference w:type="first" r:id="rId14"/>
          <w:footerReference w:type="first" r:id="rId15"/>
          <w:pgSz w:w="12240" w:h="15840" w:code="1"/>
          <w:pgMar w:top="1296" w:right="1152" w:bottom="576" w:left="1152" w:header="792" w:footer="360" w:gutter="0"/>
          <w:paperSrc w:first="7" w:other="7"/>
          <w:cols w:space="720"/>
          <w:titlePg/>
          <w:docGrid w:linePitch="326"/>
        </w:sectPr>
      </w:pPr>
    </w:p>
    <w:p w14:paraId="35E52C01" w14:textId="77777777" w:rsidR="00632217" w:rsidRPr="00B36C26" w:rsidRDefault="00632217" w:rsidP="00632217">
      <w:pPr>
        <w:pStyle w:val="Subtitle"/>
        <w:tabs>
          <w:tab w:val="left" w:pos="4140"/>
        </w:tabs>
        <w:spacing w:after="0"/>
        <w:ind w:left="2070" w:right="-72" w:firstLine="540"/>
        <w:jc w:val="left"/>
        <w:rPr>
          <w:b/>
          <w:sz w:val="16"/>
          <w:szCs w:val="22"/>
        </w:rPr>
      </w:pPr>
      <w:r w:rsidRPr="00B36C26">
        <w:rPr>
          <w:b/>
          <w:sz w:val="16"/>
          <w:szCs w:val="22"/>
        </w:rPr>
        <w:t>Laura E. Schneider</w:t>
      </w:r>
    </w:p>
    <w:p w14:paraId="33D5F576" w14:textId="77777777" w:rsidR="00632217" w:rsidRPr="00B36C26" w:rsidRDefault="00632217" w:rsidP="00632217">
      <w:pPr>
        <w:pStyle w:val="Subtitle"/>
        <w:tabs>
          <w:tab w:val="left" w:pos="4140"/>
        </w:tabs>
        <w:spacing w:after="0"/>
        <w:ind w:left="2070" w:right="-72" w:firstLine="540"/>
        <w:jc w:val="left"/>
        <w:rPr>
          <w:sz w:val="16"/>
          <w:szCs w:val="22"/>
        </w:rPr>
      </w:pPr>
      <w:r w:rsidRPr="00B36C26">
        <w:rPr>
          <w:sz w:val="16"/>
          <w:szCs w:val="22"/>
        </w:rPr>
        <w:t xml:space="preserve">laura.schneider@wilmerhale.com </w:t>
      </w:r>
    </w:p>
    <w:p w14:paraId="05988EBA" w14:textId="77777777" w:rsidR="0027734F" w:rsidRPr="00B36C26" w:rsidRDefault="0027734F" w:rsidP="0027734F">
      <w:pPr>
        <w:pStyle w:val="Subtitle"/>
        <w:tabs>
          <w:tab w:val="left" w:pos="4140"/>
        </w:tabs>
        <w:spacing w:after="0"/>
        <w:ind w:left="360" w:firstLine="2250"/>
        <w:jc w:val="left"/>
        <w:rPr>
          <w:sz w:val="16"/>
          <w:szCs w:val="22"/>
        </w:rPr>
      </w:pPr>
      <w:r w:rsidRPr="00B36C26">
        <w:rPr>
          <w:b/>
          <w:sz w:val="16"/>
          <w:szCs w:val="22"/>
        </w:rPr>
        <w:t>Ariella Feingold</w:t>
      </w:r>
    </w:p>
    <w:p w14:paraId="6E14BB8A" w14:textId="77777777" w:rsidR="00632217" w:rsidRPr="00B36C26" w:rsidRDefault="00632217" w:rsidP="00632217">
      <w:pPr>
        <w:pStyle w:val="Subtitle"/>
        <w:tabs>
          <w:tab w:val="left" w:pos="4140"/>
        </w:tabs>
        <w:spacing w:after="0"/>
        <w:ind w:left="360" w:firstLine="2250"/>
        <w:jc w:val="left"/>
        <w:rPr>
          <w:sz w:val="16"/>
          <w:szCs w:val="22"/>
        </w:rPr>
      </w:pPr>
      <w:r w:rsidRPr="00B36C26">
        <w:rPr>
          <w:sz w:val="16"/>
          <w:szCs w:val="22"/>
        </w:rPr>
        <w:t>ariella.feingold@wilmerhale.com</w:t>
      </w:r>
    </w:p>
    <w:p w14:paraId="2C6B965E" w14:textId="77777777" w:rsidR="00632217" w:rsidRPr="00B36C26" w:rsidRDefault="00632217" w:rsidP="00632217">
      <w:pPr>
        <w:pStyle w:val="Subtitle"/>
        <w:tabs>
          <w:tab w:val="left" w:pos="4140"/>
        </w:tabs>
        <w:spacing w:after="0"/>
        <w:ind w:left="360" w:firstLine="360"/>
        <w:jc w:val="left"/>
        <w:rPr>
          <w:b/>
          <w:sz w:val="16"/>
          <w:szCs w:val="22"/>
        </w:rPr>
      </w:pPr>
      <w:r w:rsidRPr="00B36C26">
        <w:rPr>
          <w:b/>
          <w:sz w:val="16"/>
          <w:szCs w:val="22"/>
        </w:rPr>
        <w:t xml:space="preserve">Andrew </w:t>
      </w:r>
      <w:proofErr w:type="spellStart"/>
      <w:r w:rsidRPr="00B36C26">
        <w:rPr>
          <w:b/>
          <w:sz w:val="16"/>
          <w:szCs w:val="22"/>
        </w:rPr>
        <w:t>Stauber</w:t>
      </w:r>
      <w:proofErr w:type="spellEnd"/>
    </w:p>
    <w:p w14:paraId="36746A18" w14:textId="77777777" w:rsidR="00632217" w:rsidRPr="00B36C26" w:rsidRDefault="00632217" w:rsidP="00632217">
      <w:pPr>
        <w:pStyle w:val="Subtitle"/>
        <w:tabs>
          <w:tab w:val="left" w:pos="4140"/>
        </w:tabs>
        <w:spacing w:after="0"/>
        <w:ind w:left="360" w:firstLine="360"/>
        <w:jc w:val="left"/>
        <w:rPr>
          <w:sz w:val="16"/>
          <w:szCs w:val="22"/>
        </w:rPr>
      </w:pPr>
      <w:r w:rsidRPr="00B36C26">
        <w:rPr>
          <w:sz w:val="16"/>
          <w:szCs w:val="22"/>
        </w:rPr>
        <w:t>andrew.stauber@wilmerhale.com</w:t>
      </w:r>
    </w:p>
    <w:p w14:paraId="2B16DB4F" w14:textId="77777777" w:rsidR="00632217" w:rsidRPr="00B36C26" w:rsidRDefault="00632217" w:rsidP="00632217">
      <w:pPr>
        <w:pStyle w:val="Subtitle"/>
        <w:tabs>
          <w:tab w:val="left" w:pos="4140"/>
        </w:tabs>
        <w:spacing w:after="0"/>
        <w:ind w:left="360" w:firstLine="360"/>
        <w:jc w:val="left"/>
        <w:rPr>
          <w:b/>
          <w:sz w:val="16"/>
          <w:szCs w:val="22"/>
        </w:rPr>
      </w:pPr>
      <w:r w:rsidRPr="00B36C26">
        <w:rPr>
          <w:b/>
          <w:sz w:val="16"/>
          <w:szCs w:val="22"/>
        </w:rPr>
        <w:t>Julie Murphy Clinton</w:t>
      </w:r>
    </w:p>
    <w:p w14:paraId="26E82F35" w14:textId="77777777" w:rsidR="00632217" w:rsidRPr="00B36C26" w:rsidRDefault="00632217" w:rsidP="00632217">
      <w:pPr>
        <w:pStyle w:val="Subtitle"/>
        <w:tabs>
          <w:tab w:val="left" w:pos="4140"/>
        </w:tabs>
        <w:spacing w:after="0"/>
        <w:ind w:left="360" w:firstLine="360"/>
        <w:jc w:val="left"/>
        <w:rPr>
          <w:sz w:val="20"/>
          <w:szCs w:val="22"/>
          <w:highlight w:val="yellow"/>
        </w:rPr>
        <w:sectPr w:rsidR="00632217" w:rsidRPr="00B36C26" w:rsidSect="003452E1">
          <w:type w:val="continuous"/>
          <w:pgSz w:w="12240" w:h="15840" w:code="1"/>
          <w:pgMar w:top="1296" w:right="1152" w:bottom="1296" w:left="1152" w:header="792" w:footer="360" w:gutter="0"/>
          <w:paperSrc w:first="15" w:other="15"/>
          <w:cols w:num="2" w:space="360"/>
          <w:titlePg/>
          <w:docGrid w:linePitch="326"/>
        </w:sectPr>
      </w:pPr>
      <w:r w:rsidRPr="00B36C26">
        <w:rPr>
          <w:sz w:val="16"/>
          <w:szCs w:val="22"/>
        </w:rPr>
        <w:t>ju</w:t>
      </w:r>
      <w:r>
        <w:rPr>
          <w:sz w:val="16"/>
          <w:szCs w:val="22"/>
        </w:rPr>
        <w:t>lie.murphyclinton@wilmerhale.com</w:t>
      </w:r>
    </w:p>
    <w:p w14:paraId="3467BF00" w14:textId="77777777" w:rsidR="00632217" w:rsidRDefault="00632217" w:rsidP="00632217">
      <w:pPr>
        <w:pStyle w:val="Subtitle"/>
        <w:jc w:val="left"/>
        <w:rPr>
          <w:sz w:val="22"/>
          <w:szCs w:val="22"/>
          <w:highlight w:val="yellow"/>
        </w:rPr>
        <w:sectPr w:rsidR="00632217" w:rsidSect="00292A5D">
          <w:type w:val="continuous"/>
          <w:pgSz w:w="12240" w:h="15840" w:code="1"/>
          <w:pgMar w:top="1296" w:right="1152" w:bottom="1296" w:left="1152" w:header="792" w:footer="360" w:gutter="0"/>
          <w:paperSrc w:first="15" w:other="15"/>
          <w:cols w:space="720"/>
          <w:titlePg/>
          <w:docGrid w:linePitch="326"/>
        </w:sectPr>
      </w:pPr>
    </w:p>
    <w:p w14:paraId="0B172610" w14:textId="77777777" w:rsidR="00632217" w:rsidRDefault="00632217" w:rsidP="003E1AB9">
      <w:pPr>
        <w:pStyle w:val="Subtitle"/>
        <w:widowControl w:val="0"/>
      </w:pPr>
      <w:bookmarkStart w:id="0" w:name="_Hlk524956357"/>
      <w:bookmarkStart w:id="1" w:name="_Hlk524956210"/>
      <w:r>
        <w:lastRenderedPageBreak/>
        <w:t>NON-COMPETITION AND NON-SOLICITATION AGREEMENT</w:t>
      </w:r>
    </w:p>
    <w:p w14:paraId="121BFD18" w14:textId="77777777" w:rsidR="00632217" w:rsidRDefault="00632217" w:rsidP="003E1AB9">
      <w:pPr>
        <w:pStyle w:val="BodyTextFirstIndent"/>
        <w:widowControl w:val="0"/>
        <w:jc w:val="both"/>
      </w:pPr>
      <w:r>
        <w:t xml:space="preserve">This Non-Competition and Non-Solicitation Agreement (the “Agreement”) is made between </w:t>
      </w:r>
      <w:r>
        <w:rPr>
          <w:highlight w:val="yellow"/>
        </w:rPr>
        <w:t>[____________</w:t>
      </w:r>
      <w:proofErr w:type="gramStart"/>
      <w:r>
        <w:rPr>
          <w:highlight w:val="yellow"/>
        </w:rPr>
        <w:t>_]</w:t>
      </w:r>
      <w:r>
        <w:t>[</w:t>
      </w:r>
      <w:proofErr w:type="gramEnd"/>
      <w:r w:rsidRPr="0089724E">
        <w:rPr>
          <w:highlight w:val="yellow"/>
        </w:rPr>
        <w:t>, a Delaware corporation</w:t>
      </w:r>
      <w:r>
        <w:t>] (hereinafter referred to collectively with its subsidiaries as the “Company”), and the undersigned employee (the “Employee”).</w:t>
      </w:r>
    </w:p>
    <w:p w14:paraId="56C94DEB" w14:textId="77777777" w:rsidR="00632217" w:rsidRDefault="00632217" w:rsidP="003E1AB9">
      <w:pPr>
        <w:pStyle w:val="BodyTextFirstIndent"/>
        <w:widowControl w:val="0"/>
        <w:jc w:val="both"/>
      </w:pPr>
      <w:r>
        <w:t xml:space="preserve">For good consideration, including, without limitation, the </w:t>
      </w:r>
      <w:r w:rsidRPr="008E712A">
        <w:rPr>
          <w:highlight w:val="yellow"/>
        </w:rPr>
        <w:t>[</w:t>
      </w:r>
      <w:r w:rsidRPr="0020641A">
        <w:rPr>
          <w:b/>
          <w:i/>
          <w:highlight w:val="yellow"/>
        </w:rPr>
        <w:t>F</w:t>
      </w:r>
      <w:r>
        <w:rPr>
          <w:b/>
          <w:i/>
          <w:highlight w:val="yellow"/>
        </w:rPr>
        <w:t xml:space="preserve">or Prospective Employees: </w:t>
      </w:r>
      <w:r w:rsidRPr="008E712A">
        <w:rPr>
          <w:highlight w:val="yellow"/>
        </w:rPr>
        <w:t>employment of the Employee by the Company] [</w:t>
      </w:r>
      <w:r w:rsidRPr="0020641A">
        <w:rPr>
          <w:b/>
          <w:i/>
          <w:highlight w:val="yellow"/>
        </w:rPr>
        <w:t xml:space="preserve">For Current Employees: </w:t>
      </w:r>
      <w:r w:rsidRPr="008E712A">
        <w:rPr>
          <w:highlight w:val="yellow"/>
        </w:rPr>
        <w:t>continued employment of the Employee by the Company</w:t>
      </w:r>
      <w:r>
        <w:rPr>
          <w:highlight w:val="yellow"/>
        </w:rPr>
        <w:t>]</w:t>
      </w:r>
      <w:r w:rsidRPr="00AB754D">
        <w:t xml:space="preserve"> and, with respect to the non-competition restrictions, the additional consideration set forth in Section 1(c),</w:t>
      </w:r>
      <w:r>
        <w:t xml:space="preserve"> </w:t>
      </w:r>
      <w:r w:rsidRPr="002978D3">
        <w:t>the</w:t>
      </w:r>
      <w:r>
        <w:t xml:space="preserve"> Employee and the Company agree as follows:</w:t>
      </w:r>
    </w:p>
    <w:bookmarkEnd w:id="0"/>
    <w:p w14:paraId="03BF262A" w14:textId="77777777" w:rsidR="00632217" w:rsidRDefault="00632217" w:rsidP="003E1AB9">
      <w:pPr>
        <w:pStyle w:val="Heading1"/>
        <w:keepNext w:val="0"/>
        <w:widowControl w:val="0"/>
        <w:numPr>
          <w:ilvl w:val="0"/>
          <w:numId w:val="28"/>
        </w:numPr>
        <w:jc w:val="both"/>
      </w:pPr>
      <w:r>
        <w:rPr>
          <w:u w:val="single"/>
        </w:rPr>
        <w:t>Non-Competition</w:t>
      </w:r>
      <w:r>
        <w:t xml:space="preserve">.  </w:t>
      </w:r>
    </w:p>
    <w:p w14:paraId="5727BB0D" w14:textId="5D8CE84D" w:rsidR="00632217" w:rsidRDefault="00632217" w:rsidP="003E1AB9">
      <w:pPr>
        <w:pStyle w:val="Heading2"/>
        <w:widowControl w:val="0"/>
        <w:numPr>
          <w:ilvl w:val="1"/>
          <w:numId w:val="28"/>
        </w:numPr>
        <w:tabs>
          <w:tab w:val="left" w:pos="1440"/>
        </w:tabs>
        <w:ind w:firstLine="720"/>
        <w:jc w:val="both"/>
      </w:pPr>
      <w:r>
        <w:t xml:space="preserve">During the Restricted Period (as defined below), the Employee will not, in the Applicable Territory (as defined below), directly or indirectly, whether as an owner, partner, officer, director, employee, consultant, investor, lender or otherwise, except as the passive holder of not more than 1% of the outstanding stock of a publicly-held company, engage or assist others in engaging in any business or enterprise that is competitive with the Company’s business, including but not limited to any business or enterprise that </w:t>
      </w:r>
      <w:r w:rsidR="0027734F">
        <w:t xml:space="preserve">researches, </w:t>
      </w:r>
      <w:r>
        <w:t xml:space="preserve">develops, manufactures, markets, licenses, sells or provides any product or service that competes with any product or service </w:t>
      </w:r>
      <w:r w:rsidR="0027734F">
        <w:t xml:space="preserve">researched, </w:t>
      </w:r>
      <w:r>
        <w:t xml:space="preserve">developed, manufactured, marketed, licensed, sold or provided, or planned to be </w:t>
      </w:r>
      <w:r w:rsidR="0027734F">
        <w:t xml:space="preserve">researched, </w:t>
      </w:r>
      <w:r>
        <w:t xml:space="preserve">developed, manufactured, marketed, licensed, sold or provided by the Company (a “Competitive Company”), if the Employee would be performing job duties or services for the Competitive Company that </w:t>
      </w:r>
      <w:r w:rsidR="0027734F">
        <w:t>are</w:t>
      </w:r>
      <w:r>
        <w:t xml:space="preserve"> </w:t>
      </w:r>
      <w:r w:rsidR="0027734F">
        <w:t xml:space="preserve">of a </w:t>
      </w:r>
      <w:r>
        <w:t xml:space="preserve">similar </w:t>
      </w:r>
      <w:r w:rsidR="0027734F">
        <w:t>type</w:t>
      </w:r>
      <w:r>
        <w:t xml:space="preserve"> that the Employee performed for the Company at any time during the  last two (2) years of the Employee’s employment.  </w:t>
      </w:r>
    </w:p>
    <w:p w14:paraId="2A3FB87E" w14:textId="77777777" w:rsidR="00632217" w:rsidRDefault="00632217" w:rsidP="003E1AB9">
      <w:pPr>
        <w:pStyle w:val="Heading2"/>
        <w:widowControl w:val="0"/>
        <w:numPr>
          <w:ilvl w:val="1"/>
          <w:numId w:val="28"/>
        </w:numPr>
        <w:tabs>
          <w:tab w:val="left" w:pos="1440"/>
        </w:tabs>
        <w:ind w:firstLine="720"/>
        <w:jc w:val="both"/>
      </w:pPr>
      <w:r w:rsidRPr="006B20B6">
        <w:rPr>
          <w:u w:val="single"/>
        </w:rPr>
        <w:t>Certain Definitions</w:t>
      </w:r>
      <w:r>
        <w:t xml:space="preserve">.  Solely for purposes of this Section 1:   </w:t>
      </w:r>
    </w:p>
    <w:p w14:paraId="69957A49" w14:textId="77777777" w:rsidR="00632217" w:rsidRDefault="00632217" w:rsidP="003E1AB9">
      <w:pPr>
        <w:pStyle w:val="Heading3"/>
        <w:widowControl w:val="0"/>
        <w:numPr>
          <w:ilvl w:val="0"/>
          <w:numId w:val="29"/>
        </w:numPr>
        <w:ind w:firstLine="1440"/>
        <w:jc w:val="both"/>
      </w:pPr>
      <w:bookmarkStart w:id="2" w:name="_Hlk523415325"/>
      <w:bookmarkStart w:id="3" w:name="_Hlk523400855"/>
      <w:r w:rsidRPr="00CF7D68">
        <w:t xml:space="preserve">the “Restricted Period” shall include the duration of the Employee’s employment with the Company and the </w:t>
      </w:r>
      <w:r>
        <w:t>twelve (12) month</w:t>
      </w:r>
      <w:r w:rsidRPr="004A5286">
        <w:rPr>
          <w:rStyle w:val="FootnoteReference"/>
          <w:highlight w:val="yellow"/>
        </w:rPr>
        <w:footnoteReference w:id="1"/>
      </w:r>
      <w:r>
        <w:t xml:space="preserve"> </w:t>
      </w:r>
      <w:r w:rsidRPr="00CF7D68">
        <w:t>period thereafter;</w:t>
      </w:r>
      <w:r>
        <w:t xml:space="preserve"> provided, however, that </w:t>
      </w:r>
      <w:r w:rsidRPr="00CF7D68">
        <w:t xml:space="preserve">the Restricted Period shall </w:t>
      </w:r>
      <w:r>
        <w:t xml:space="preserve">automatically </w:t>
      </w:r>
      <w:r w:rsidRPr="00CF7D68">
        <w:t>be extended to two (2) years</w:t>
      </w:r>
      <w:r>
        <w:t xml:space="preserve"> following the cessation of the Employee’s employment if the Employee</w:t>
      </w:r>
      <w:r w:rsidRPr="00CF7D68">
        <w:t xml:space="preserve"> breach</w:t>
      </w:r>
      <w:r>
        <w:t>es</w:t>
      </w:r>
      <w:r w:rsidRPr="00CF7D68">
        <w:t xml:space="preserve"> a fiduciary duty to the Company or </w:t>
      </w:r>
      <w:r>
        <w:t>the Employee</w:t>
      </w:r>
      <w:r w:rsidRPr="00CF7D68">
        <w:t xml:space="preserve"> unlawfully take</w:t>
      </w:r>
      <w:r>
        <w:t>s</w:t>
      </w:r>
      <w:r w:rsidRPr="00CF7D68">
        <w:t>, physically or electronically, any pr</w:t>
      </w:r>
      <w:r>
        <w:t xml:space="preserve">operty belonging to the Company.  Notwithstanding the foregoing, </w:t>
      </w:r>
      <w:r w:rsidRPr="00CF7D68">
        <w:t>the Restricted Period shall end immediately upon the Employee’s last day of employment with the Company if: (</w:t>
      </w:r>
      <w:r>
        <w:t>x</w:t>
      </w:r>
      <w:r w:rsidRPr="00CF7D68">
        <w:t>) the Company terminates the Employee’s employment other than for Cause</w:t>
      </w:r>
      <w:r>
        <w:t xml:space="preserve"> (as defined below)</w:t>
      </w:r>
      <w:r w:rsidRPr="00CF7D68">
        <w:t>; or (</w:t>
      </w:r>
      <w:r>
        <w:t>y</w:t>
      </w:r>
      <w:r w:rsidRPr="00CF7D68">
        <w:t xml:space="preserve">) the Company notifies the Employee </w:t>
      </w:r>
      <w:r>
        <w:t xml:space="preserve">in writing </w:t>
      </w:r>
      <w:r w:rsidRPr="00CF7D68">
        <w:t>that it is waiving the post-employment restricti</w:t>
      </w:r>
      <w:r>
        <w:t xml:space="preserve">ons set forth in this Section 1 (such notice to be provided </w:t>
      </w:r>
      <w:r w:rsidRPr="0020641A">
        <w:t>no later than the Employee’s last day of</w:t>
      </w:r>
      <w:r w:rsidRPr="009437EC">
        <w:t xml:space="preserve"> </w:t>
      </w:r>
      <w:r w:rsidRPr="00981A95">
        <w:t>employment</w:t>
      </w:r>
      <w:r>
        <w:t xml:space="preserve"> or by the seventh (7</w:t>
      </w:r>
      <w:r w:rsidRPr="00796819">
        <w:rPr>
          <w:vertAlign w:val="superscript"/>
        </w:rPr>
        <w:t>th</w:t>
      </w:r>
      <w:r>
        <w:t>) business day following an Employee’s notice of resignation, if later).</w:t>
      </w:r>
      <w:bookmarkEnd w:id="2"/>
      <w:r>
        <w:t xml:space="preserve">  </w:t>
      </w:r>
    </w:p>
    <w:bookmarkEnd w:id="3"/>
    <w:p w14:paraId="26812B6C" w14:textId="77777777" w:rsidR="00632217" w:rsidRDefault="00632217" w:rsidP="003E1AB9">
      <w:pPr>
        <w:pStyle w:val="Heading3"/>
        <w:widowControl w:val="0"/>
        <w:numPr>
          <w:ilvl w:val="0"/>
          <w:numId w:val="29"/>
        </w:numPr>
        <w:ind w:firstLine="1440"/>
        <w:jc w:val="both"/>
      </w:pPr>
      <w:r>
        <w:t xml:space="preserve"> </w:t>
      </w:r>
      <w:r w:rsidRPr="00CF7D68">
        <w:t xml:space="preserve">“Applicable Territory” shall mean the geographic areas in which </w:t>
      </w:r>
      <w:r>
        <w:t xml:space="preserve">the Employee </w:t>
      </w:r>
      <w:r w:rsidRPr="00CF7D68">
        <w:t xml:space="preserve">provided services or had a material presence or influence </w:t>
      </w:r>
      <w:r>
        <w:t>at</w:t>
      </w:r>
      <w:r w:rsidRPr="00CF7D68">
        <w:t xml:space="preserve"> any time </w:t>
      </w:r>
      <w:r>
        <w:t xml:space="preserve">during his/her </w:t>
      </w:r>
      <w:r w:rsidRPr="00CF7D68">
        <w:t xml:space="preserve">last </w:t>
      </w:r>
      <w:r>
        <w:t>two (</w:t>
      </w:r>
      <w:r w:rsidRPr="00CF7D68">
        <w:t>2</w:t>
      </w:r>
      <w:r>
        <w:t>)</w:t>
      </w:r>
      <w:r w:rsidRPr="00CF7D68">
        <w:t xml:space="preserve"> years of employment.</w:t>
      </w:r>
      <w:r w:rsidRPr="00ED6DDF">
        <w:rPr>
          <w:rStyle w:val="FootnoteReference"/>
          <w:highlight w:val="yellow"/>
        </w:rPr>
        <w:footnoteReference w:id="2"/>
      </w:r>
    </w:p>
    <w:p w14:paraId="446B8D19" w14:textId="77777777" w:rsidR="00632217" w:rsidRDefault="00632217" w:rsidP="003E1AB9">
      <w:pPr>
        <w:pStyle w:val="Heading3"/>
        <w:widowControl w:val="0"/>
        <w:numPr>
          <w:ilvl w:val="0"/>
          <w:numId w:val="29"/>
        </w:numPr>
        <w:ind w:firstLine="1440"/>
        <w:jc w:val="both"/>
      </w:pPr>
      <w:r>
        <w:t>“Cause” shall mean any of: (a) the Employee’s</w:t>
      </w:r>
      <w:r w:rsidRPr="00CF7D68">
        <w:t xml:space="preserve"> conviction of, or plea </w:t>
      </w:r>
      <w:r w:rsidRPr="00CF7D68">
        <w:lastRenderedPageBreak/>
        <w:t>of guilty or nolo contendere to, any crime involving dishonesty or moral turpitude</w:t>
      </w:r>
      <w:r>
        <w:t>,</w:t>
      </w:r>
      <w:r w:rsidRPr="00CF7D68">
        <w:t xml:space="preserve"> or any felony; or (b) a good faith finding by the Company in its sole discretion that </w:t>
      </w:r>
      <w:r>
        <w:t xml:space="preserve">the Employee has </w:t>
      </w:r>
      <w:r w:rsidRPr="00CF7D68">
        <w:t>(i) engaged in dishonesty, misconduct or gross negligence</w:t>
      </w:r>
      <w:r>
        <w:t>;</w:t>
      </w:r>
      <w:r w:rsidRPr="00CF7D68">
        <w:t xml:space="preserve"> (ii) committed an act that injures or would reasonably be expected to injure the reputation, business or </w:t>
      </w:r>
      <w:r w:rsidRPr="001D719B">
        <w:t>business relationships of the Company</w:t>
      </w:r>
      <w:r>
        <w:t>;</w:t>
      </w:r>
      <w:r w:rsidRPr="001D719B">
        <w:t xml:space="preserve"> (iii) breached the terms of </w:t>
      </w:r>
      <w:r>
        <w:t xml:space="preserve">this Agreement or </w:t>
      </w:r>
      <w:r w:rsidRPr="001D719B">
        <w:t xml:space="preserve">any </w:t>
      </w:r>
      <w:r>
        <w:t>other restrictive covenant</w:t>
      </w:r>
      <w:r w:rsidRPr="001D719B">
        <w:t xml:space="preserve"> or confidentiality agreement with </w:t>
      </w:r>
      <w:r>
        <w:t xml:space="preserve">or policy of </w:t>
      </w:r>
      <w:r w:rsidRPr="001D719B">
        <w:t xml:space="preserve">the Company; (iv) failed or refused to comply with </w:t>
      </w:r>
      <w:r>
        <w:t xml:space="preserve">any of </w:t>
      </w:r>
      <w:r w:rsidRPr="001D719B">
        <w:t xml:space="preserve">the Company’s policies or procedures; </w:t>
      </w:r>
      <w:r>
        <w:t xml:space="preserve">or </w:t>
      </w:r>
      <w:r w:rsidRPr="001D719B">
        <w:t xml:space="preserve">(v) failed to perform </w:t>
      </w:r>
      <w:r>
        <w:t>the Employee’s</w:t>
      </w:r>
      <w:r w:rsidRPr="001D719B">
        <w:t xml:space="preserve"> duties </w:t>
      </w:r>
      <w:r>
        <w:t xml:space="preserve">and/or responsibilities </w:t>
      </w:r>
      <w:r w:rsidRPr="001D719B">
        <w:t>to the Company’s satisfaction</w:t>
      </w:r>
      <w:r>
        <w:t>.</w:t>
      </w:r>
      <w:r w:rsidRPr="004A5286">
        <w:rPr>
          <w:rStyle w:val="FootnoteReference"/>
          <w:highlight w:val="yellow"/>
        </w:rPr>
        <w:footnoteReference w:id="3"/>
      </w:r>
      <w:r>
        <w:t xml:space="preserve">  </w:t>
      </w:r>
    </w:p>
    <w:p w14:paraId="6D10E121" w14:textId="77777777" w:rsidR="00632217" w:rsidRDefault="00632217" w:rsidP="003E1AB9">
      <w:pPr>
        <w:pStyle w:val="Heading2"/>
        <w:widowControl w:val="0"/>
        <w:numPr>
          <w:ilvl w:val="1"/>
          <w:numId w:val="28"/>
        </w:numPr>
        <w:tabs>
          <w:tab w:val="left" w:pos="1440"/>
        </w:tabs>
        <w:ind w:firstLine="720"/>
        <w:jc w:val="both"/>
      </w:pPr>
      <w:r>
        <w:rPr>
          <w:u w:val="single"/>
        </w:rPr>
        <w:t xml:space="preserve">Additional </w:t>
      </w:r>
      <w:r w:rsidRPr="006B20B6">
        <w:rPr>
          <w:u w:val="single"/>
        </w:rPr>
        <w:t xml:space="preserve">Consideration for </w:t>
      </w:r>
      <w:r>
        <w:rPr>
          <w:u w:val="single"/>
        </w:rPr>
        <w:t xml:space="preserve">Non-Competition </w:t>
      </w:r>
      <w:r w:rsidRPr="006B20B6">
        <w:rPr>
          <w:u w:val="single"/>
        </w:rPr>
        <w:t>Restrictions</w:t>
      </w:r>
      <w:r>
        <w:t xml:space="preserve">.  </w:t>
      </w:r>
      <w:bookmarkStart w:id="4" w:name="_Hlk523415154"/>
      <w:r>
        <w:t>In exchange for the Employee’s compliance with the restrictions set forth in this Section 1,</w:t>
      </w:r>
      <w:r w:rsidRPr="004A5286">
        <w:rPr>
          <w:rStyle w:val="FootnoteReference"/>
          <w:highlight w:val="yellow"/>
        </w:rPr>
        <w:footnoteReference w:id="4"/>
      </w:r>
      <w:r>
        <w:t xml:space="preserve"> </w:t>
      </w:r>
    </w:p>
    <w:p w14:paraId="3B99A227" w14:textId="77777777" w:rsidR="00632217" w:rsidRDefault="00632217" w:rsidP="003E1AB9">
      <w:pPr>
        <w:pStyle w:val="Heading2"/>
        <w:widowControl w:val="0"/>
        <w:tabs>
          <w:tab w:val="left" w:pos="2160"/>
        </w:tabs>
        <w:jc w:val="both"/>
      </w:pPr>
      <w:r w:rsidRPr="00ED6DDF">
        <w:rPr>
          <w:b/>
          <w:highlight w:val="yellow"/>
        </w:rPr>
        <w:t>[</w:t>
      </w:r>
      <w:r w:rsidRPr="00ED6DDF">
        <w:rPr>
          <w:b/>
          <w:i/>
          <w:highlight w:val="yellow"/>
        </w:rPr>
        <w:t xml:space="preserve">If including </w:t>
      </w:r>
      <w:r w:rsidRPr="00313B4C">
        <w:rPr>
          <w:b/>
          <w:i/>
          <w:highlight w:val="yellow"/>
        </w:rPr>
        <w:t>garden leave, insert the following:</w:t>
      </w:r>
      <w:r w:rsidRPr="00313B4C">
        <w:rPr>
          <w:highlight w:val="yellow"/>
        </w:rPr>
        <w:t xml:space="preserve"> during the post-employment portion of the Re</w:t>
      </w:r>
      <w:r w:rsidRPr="007C7566">
        <w:rPr>
          <w:highlight w:val="yellow"/>
        </w:rPr>
        <w:t xml:space="preserve">stricted Period, the Company will pay the Employee 50% of the highest annualized base salary </w:t>
      </w:r>
      <w:r>
        <w:rPr>
          <w:highlight w:val="yellow"/>
        </w:rPr>
        <w:t xml:space="preserve">rate </w:t>
      </w:r>
      <w:r w:rsidRPr="007C7566">
        <w:rPr>
          <w:highlight w:val="yellow"/>
        </w:rPr>
        <w:t xml:space="preserve">paid to the Employee by the Company within the two </w:t>
      </w:r>
      <w:r>
        <w:rPr>
          <w:highlight w:val="yellow"/>
        </w:rPr>
        <w:t xml:space="preserve">(2) </w:t>
      </w:r>
      <w:r w:rsidRPr="007C7566">
        <w:rPr>
          <w:highlight w:val="yellow"/>
        </w:rPr>
        <w:t xml:space="preserve">years preceding the Employee’s separation </w:t>
      </w:r>
      <w:r>
        <w:rPr>
          <w:highlight w:val="yellow"/>
        </w:rPr>
        <w:t>date</w:t>
      </w:r>
      <w:r w:rsidRPr="007C7566">
        <w:rPr>
          <w:highlight w:val="yellow"/>
        </w:rPr>
        <w:t xml:space="preserve">, less all applicable taxes and withholdings (the “Non-Compete </w:t>
      </w:r>
      <w:r>
        <w:rPr>
          <w:highlight w:val="yellow"/>
        </w:rPr>
        <w:t>Consideration</w:t>
      </w:r>
      <w:r w:rsidRPr="007C7566">
        <w:rPr>
          <w:highlight w:val="yellow"/>
        </w:rPr>
        <w:t xml:space="preserve">”).  The Non-Compete </w:t>
      </w:r>
      <w:r>
        <w:rPr>
          <w:highlight w:val="yellow"/>
        </w:rPr>
        <w:t>Consideration</w:t>
      </w:r>
      <w:r w:rsidRPr="007C7566">
        <w:rPr>
          <w:highlight w:val="yellow"/>
        </w:rPr>
        <w:t xml:space="preserve"> will be paid ratably in accordance with the Compan</w:t>
      </w:r>
      <w:r>
        <w:rPr>
          <w:highlight w:val="yellow"/>
        </w:rPr>
        <w:t xml:space="preserve">y’s regular payroll practices, commencing with the first payroll cycle beginning </w:t>
      </w:r>
      <w:r w:rsidRPr="00D75FCB">
        <w:rPr>
          <w:highlight w:val="yellow"/>
        </w:rPr>
        <w:t>after the Employee’s separation date, except as may othe</w:t>
      </w:r>
      <w:r w:rsidR="003A6739">
        <w:rPr>
          <w:highlight w:val="yellow"/>
        </w:rPr>
        <w:t>rwise be required by Section 4(i</w:t>
      </w:r>
      <w:r w:rsidRPr="00D75FCB">
        <w:rPr>
          <w:highlight w:val="yellow"/>
        </w:rPr>
        <w:t>) below.  The</w:t>
      </w:r>
      <w:r w:rsidRPr="00623C40">
        <w:t xml:space="preserve"> </w:t>
      </w:r>
      <w:r w:rsidRPr="00297505">
        <w:rPr>
          <w:highlight w:val="yellow"/>
        </w:rPr>
        <w:t>Employee understands and agrees that the Company may discontinue or otherwise not provide the Non-Compete Consideration (i) if the Restricted Period expires upon the termination of the employment relationship pursuant to the last sentence of Section 1(b)(i), (ii) if the Employee breaches this Agreement, or (iii) during any portion of the Restricted Period that has been extended in accordance with Section 1(b)(i); provided, however, that with respect to (ii) or (iii) any such cessation shall not excuse the Employee’s compliance with his/her obligations under this Section 1 or otherwise in this Agreement.</w:t>
      </w:r>
      <w:r w:rsidRPr="00297505">
        <w:rPr>
          <w:b/>
          <w:highlight w:val="yellow"/>
        </w:rPr>
        <w:t>]</w:t>
      </w:r>
      <w:r w:rsidR="00285A14">
        <w:rPr>
          <w:b/>
        </w:rPr>
        <w:t xml:space="preserve"> </w:t>
      </w:r>
      <w:r w:rsidRPr="00D1569D">
        <w:rPr>
          <w:rStyle w:val="FootnoteReference"/>
          <w:b/>
          <w:color w:val="FF0000"/>
          <w:highlight w:val="yellow"/>
        </w:rPr>
        <w:footnoteReference w:id="5"/>
      </w:r>
      <w:r w:rsidRPr="00F74F6A">
        <w:rPr>
          <w:color w:val="FF0000"/>
        </w:rPr>
        <w:t xml:space="preserve">  </w:t>
      </w:r>
    </w:p>
    <w:p w14:paraId="0FEE930E" w14:textId="77777777" w:rsidR="00632217" w:rsidRPr="004A5286" w:rsidRDefault="00632217" w:rsidP="003E1AB9">
      <w:pPr>
        <w:pStyle w:val="Heading2"/>
        <w:widowControl w:val="0"/>
        <w:tabs>
          <w:tab w:val="left" w:pos="2160"/>
        </w:tabs>
        <w:jc w:val="both"/>
        <w:rPr>
          <w:highlight w:val="yellow"/>
        </w:rPr>
      </w:pPr>
      <w:r w:rsidRPr="004A5286">
        <w:rPr>
          <w:b/>
          <w:highlight w:val="yellow"/>
          <w:u w:val="single"/>
        </w:rPr>
        <w:t>OR</w:t>
      </w:r>
      <w:r w:rsidRPr="004A5286">
        <w:rPr>
          <w:highlight w:val="yellow"/>
        </w:rPr>
        <w:t xml:space="preserve">  </w:t>
      </w:r>
    </w:p>
    <w:p w14:paraId="4E8C2E3E" w14:textId="77777777" w:rsidR="00632217" w:rsidRDefault="00632217" w:rsidP="003E1AB9">
      <w:pPr>
        <w:pStyle w:val="Heading2"/>
        <w:widowControl w:val="0"/>
        <w:tabs>
          <w:tab w:val="left" w:pos="2160"/>
        </w:tabs>
        <w:jc w:val="both"/>
        <w:rPr>
          <w:highlight w:val="yellow"/>
        </w:rPr>
      </w:pPr>
      <w:r>
        <w:rPr>
          <w:b/>
          <w:highlight w:val="yellow"/>
        </w:rPr>
        <w:t>[</w:t>
      </w:r>
      <w:r w:rsidRPr="00AB754D">
        <w:rPr>
          <w:b/>
          <w:i/>
          <w:highlight w:val="yellow"/>
        </w:rPr>
        <w:t>If including “other mutually agreed upon consideration”</w:t>
      </w:r>
      <w:r>
        <w:rPr>
          <w:b/>
          <w:i/>
          <w:highlight w:val="yellow"/>
        </w:rPr>
        <w:t xml:space="preserve"> </w:t>
      </w:r>
      <w:r w:rsidRPr="00B0729C">
        <w:rPr>
          <w:b/>
          <w:i/>
          <w:highlight w:val="yellow"/>
        </w:rPr>
        <w:t xml:space="preserve">to be paid or granted </w:t>
      </w:r>
      <w:r w:rsidRPr="00D75FCB">
        <w:rPr>
          <w:b/>
          <w:i/>
          <w:highlight w:val="yellow"/>
          <w:u w:val="single"/>
        </w:rPr>
        <w:t>prior to</w:t>
      </w:r>
      <w:r>
        <w:rPr>
          <w:b/>
          <w:i/>
          <w:highlight w:val="yellow"/>
        </w:rPr>
        <w:t xml:space="preserve"> the post-employment period,</w:t>
      </w:r>
      <w:r w:rsidRPr="00AB754D">
        <w:rPr>
          <w:b/>
          <w:i/>
          <w:highlight w:val="yellow"/>
        </w:rPr>
        <w:t xml:space="preserve"> insert description of consideration being provided, along the lines of the following</w:t>
      </w:r>
      <w:r>
        <w:rPr>
          <w:highlight w:val="yellow"/>
        </w:rPr>
        <w:t xml:space="preserve">: </w:t>
      </w:r>
      <w:r w:rsidRPr="00AB754D">
        <w:rPr>
          <w:highlight w:val="yellow"/>
        </w:rPr>
        <w:t xml:space="preserve">and as more fully set forth in the Employee’s </w:t>
      </w:r>
      <w:r>
        <w:rPr>
          <w:highlight w:val="yellow"/>
        </w:rPr>
        <w:t>[</w:t>
      </w:r>
      <w:r w:rsidRPr="00AB754D">
        <w:rPr>
          <w:highlight w:val="yellow"/>
        </w:rPr>
        <w:t>offer letter</w:t>
      </w:r>
      <w:r>
        <w:rPr>
          <w:highlight w:val="yellow"/>
        </w:rPr>
        <w:t>]</w:t>
      </w:r>
      <w:r w:rsidRPr="00AB754D">
        <w:rPr>
          <w:highlight w:val="yellow"/>
        </w:rPr>
        <w:t xml:space="preserve"> to which this Agreement is attached, the Company</w:t>
      </w:r>
      <w:r>
        <w:rPr>
          <w:highlight w:val="yellow"/>
        </w:rPr>
        <w:t>, subject to approval of its Board of Directors where applicable,</w:t>
      </w:r>
      <w:r w:rsidRPr="00AB754D">
        <w:rPr>
          <w:highlight w:val="yellow"/>
        </w:rPr>
        <w:t xml:space="preserve"> will grant the Employee [a stock option under the Company’s stock incentive plan] [a [$$$$] signing </w:t>
      </w:r>
      <w:r w:rsidRPr="00623C40">
        <w:rPr>
          <w:highlight w:val="yellow"/>
        </w:rPr>
        <w:t>bonu</w:t>
      </w:r>
      <w:r w:rsidRPr="00D75FCB">
        <w:rPr>
          <w:highlight w:val="yellow"/>
        </w:rPr>
        <w:t>s]</w:t>
      </w:r>
      <w:r w:rsidRPr="00D75FCB">
        <w:rPr>
          <w:b/>
          <w:highlight w:val="yellow"/>
        </w:rPr>
        <w:t>]</w:t>
      </w:r>
      <w:r w:rsidRPr="00D75FCB">
        <w:rPr>
          <w:highlight w:val="yellow"/>
        </w:rPr>
        <w:t xml:space="preserve">. </w:t>
      </w:r>
    </w:p>
    <w:p w14:paraId="72D6D62A" w14:textId="77777777" w:rsidR="00632217" w:rsidRPr="00D75FCB" w:rsidRDefault="00632217" w:rsidP="003E1AB9">
      <w:pPr>
        <w:pStyle w:val="Heading2"/>
        <w:widowControl w:val="0"/>
        <w:tabs>
          <w:tab w:val="left" w:pos="2160"/>
        </w:tabs>
        <w:jc w:val="both"/>
        <w:rPr>
          <w:b/>
          <w:highlight w:val="yellow"/>
          <w:u w:val="single"/>
        </w:rPr>
      </w:pPr>
      <w:r w:rsidRPr="00D75FCB">
        <w:rPr>
          <w:b/>
          <w:highlight w:val="yellow"/>
          <w:u w:val="single"/>
        </w:rPr>
        <w:t>OR</w:t>
      </w:r>
    </w:p>
    <w:p w14:paraId="36E2FAB3" w14:textId="77777777" w:rsidR="003A6739" w:rsidRDefault="00632217" w:rsidP="003E1AB9">
      <w:pPr>
        <w:pStyle w:val="BodyText"/>
        <w:widowControl w:val="0"/>
        <w:jc w:val="both"/>
      </w:pPr>
      <w:r w:rsidRPr="00D75FCB">
        <w:rPr>
          <w:b/>
          <w:highlight w:val="yellow"/>
        </w:rPr>
        <w:t>[</w:t>
      </w:r>
      <w:r w:rsidRPr="00D75FCB">
        <w:rPr>
          <w:b/>
          <w:i/>
          <w:highlight w:val="yellow"/>
        </w:rPr>
        <w:t xml:space="preserve">If </w:t>
      </w:r>
      <w:r>
        <w:rPr>
          <w:b/>
          <w:i/>
          <w:highlight w:val="yellow"/>
        </w:rPr>
        <w:t xml:space="preserve">including </w:t>
      </w:r>
      <w:r w:rsidRPr="00D75FCB">
        <w:rPr>
          <w:b/>
          <w:i/>
          <w:highlight w:val="yellow"/>
        </w:rPr>
        <w:t xml:space="preserve">“mutually agreed upon consideration” </w:t>
      </w:r>
      <w:r w:rsidRPr="00B0729C">
        <w:rPr>
          <w:b/>
          <w:i/>
          <w:highlight w:val="yellow"/>
        </w:rPr>
        <w:t>to be paid or granted</w:t>
      </w:r>
      <w:r>
        <w:rPr>
          <w:b/>
          <w:highlight w:val="yellow"/>
        </w:rPr>
        <w:t xml:space="preserve"> </w:t>
      </w:r>
      <w:r w:rsidRPr="00D75FCB">
        <w:rPr>
          <w:b/>
          <w:i/>
          <w:highlight w:val="yellow"/>
          <w:u w:val="single"/>
        </w:rPr>
        <w:t>during</w:t>
      </w:r>
      <w:r>
        <w:rPr>
          <w:b/>
          <w:i/>
          <w:highlight w:val="yellow"/>
        </w:rPr>
        <w:t xml:space="preserve"> the post-employment period, insert description of consideration being provided, along the lines of the following</w:t>
      </w:r>
      <w:r w:rsidRPr="00D75FCB">
        <w:rPr>
          <w:i/>
          <w:highlight w:val="yellow"/>
        </w:rPr>
        <w:t xml:space="preserve">: </w:t>
      </w:r>
      <w:r w:rsidRPr="00313B4C">
        <w:rPr>
          <w:highlight w:val="yellow"/>
        </w:rPr>
        <w:t>during the post-employment portion of the Re</w:t>
      </w:r>
      <w:r w:rsidRPr="007C7566">
        <w:rPr>
          <w:highlight w:val="yellow"/>
        </w:rPr>
        <w:t xml:space="preserve">stricted Period, the Company will </w:t>
      </w:r>
      <w:r>
        <w:rPr>
          <w:highlight w:val="yellow"/>
        </w:rPr>
        <w:lastRenderedPageBreak/>
        <w:t>[</w:t>
      </w:r>
      <w:r w:rsidRPr="007C7566">
        <w:rPr>
          <w:highlight w:val="yellow"/>
        </w:rPr>
        <w:t>pay</w:t>
      </w:r>
      <w:r>
        <w:rPr>
          <w:highlight w:val="yellow"/>
        </w:rPr>
        <w:t>/grant]</w:t>
      </w:r>
      <w:r w:rsidRPr="007C7566">
        <w:rPr>
          <w:highlight w:val="yellow"/>
        </w:rPr>
        <w:t xml:space="preserve"> the Employee </w:t>
      </w:r>
      <w:r>
        <w:rPr>
          <w:highlight w:val="yellow"/>
        </w:rPr>
        <w:t>[</w:t>
      </w:r>
      <w:r>
        <w:rPr>
          <w:i/>
          <w:highlight w:val="yellow"/>
        </w:rPr>
        <w:t>Insert description of post-employment payments/</w:t>
      </w:r>
      <w:proofErr w:type="gramStart"/>
      <w:r>
        <w:rPr>
          <w:i/>
          <w:highlight w:val="yellow"/>
        </w:rPr>
        <w:t>grants</w:t>
      </w:r>
      <w:r>
        <w:rPr>
          <w:highlight w:val="yellow"/>
        </w:rPr>
        <w:t>]</w:t>
      </w:r>
      <w:r w:rsidRPr="00D75FCB">
        <w:rPr>
          <w:i/>
          <w:highlight w:val="yellow"/>
        </w:rPr>
        <w:t>“</w:t>
      </w:r>
      <w:proofErr w:type="gramEnd"/>
      <w:r w:rsidRPr="00D75FCB">
        <w:rPr>
          <w:highlight w:val="yellow"/>
        </w:rPr>
        <w:t>(the “Non-Compete Con</w:t>
      </w:r>
      <w:r w:rsidRPr="00623C40">
        <w:rPr>
          <w:highlight w:val="yellow"/>
        </w:rPr>
        <w:t>sidera</w:t>
      </w:r>
      <w:r w:rsidRPr="00D75FCB">
        <w:rPr>
          <w:highlight w:val="yellow"/>
        </w:rPr>
        <w:t xml:space="preserve">tion”).  </w:t>
      </w:r>
      <w:r w:rsidR="003A6739" w:rsidRPr="007C7566">
        <w:rPr>
          <w:highlight w:val="yellow"/>
        </w:rPr>
        <w:t xml:space="preserve">The Non-Compete </w:t>
      </w:r>
      <w:r w:rsidR="003A6739">
        <w:rPr>
          <w:highlight w:val="yellow"/>
        </w:rPr>
        <w:t>Consideration</w:t>
      </w:r>
      <w:r w:rsidR="003A6739" w:rsidRPr="007C7566">
        <w:rPr>
          <w:highlight w:val="yellow"/>
        </w:rPr>
        <w:t xml:space="preserve"> will be paid </w:t>
      </w:r>
      <w:r w:rsidR="003A6739">
        <w:rPr>
          <w:highlight w:val="yellow"/>
        </w:rPr>
        <w:t>[</w:t>
      </w:r>
      <w:r w:rsidR="003A6739" w:rsidRPr="007C7566">
        <w:rPr>
          <w:highlight w:val="yellow"/>
        </w:rPr>
        <w:t>ratably in accordance with the Compan</w:t>
      </w:r>
      <w:r w:rsidR="003A6739">
        <w:rPr>
          <w:highlight w:val="yellow"/>
        </w:rPr>
        <w:t xml:space="preserve">y’s regular payroll practices, commencing with the first payroll cycle beginning </w:t>
      </w:r>
      <w:r w:rsidR="003A6739" w:rsidRPr="00D75FCB">
        <w:rPr>
          <w:highlight w:val="yellow"/>
        </w:rPr>
        <w:t>after the Employee’s separation date</w:t>
      </w:r>
      <w:r w:rsidR="003A6739">
        <w:rPr>
          <w:highlight w:val="yellow"/>
        </w:rPr>
        <w:t>]</w:t>
      </w:r>
      <w:r w:rsidR="003A6739" w:rsidRPr="00D75FCB">
        <w:rPr>
          <w:highlight w:val="yellow"/>
        </w:rPr>
        <w:t>, except as may othe</w:t>
      </w:r>
      <w:r w:rsidR="003A6739">
        <w:rPr>
          <w:highlight w:val="yellow"/>
        </w:rPr>
        <w:t>rwise be required by Section 4(i</w:t>
      </w:r>
      <w:r w:rsidR="003A6739" w:rsidRPr="00D75FCB">
        <w:rPr>
          <w:highlight w:val="yellow"/>
        </w:rPr>
        <w:t>) below.  The</w:t>
      </w:r>
      <w:r w:rsidR="003A6739" w:rsidRPr="00623C40">
        <w:t xml:space="preserve"> </w:t>
      </w:r>
      <w:r w:rsidR="003A6739" w:rsidRPr="00297505">
        <w:rPr>
          <w:highlight w:val="yellow"/>
        </w:rPr>
        <w:t>Employee understands and agrees that the Company may discontinue or otherwise not provide the Non-Compete Consideration (i) if the Restricted Period expires upon the termination of the employment relationship pursuant to the last sentence of Section 1(b)(i), (ii) if the Employee breaches this Agreement, or (iii) during any portion of the Restricted Period that has been extended in accordance with Section 1(b)(i); provided, however, that with respect to (ii) or (iii) any such cessation shall not excuse the Employee’s compliance with his/her obligations under this Section 1 or otherwise in this Agreement.</w:t>
      </w:r>
      <w:r w:rsidR="003A6739" w:rsidRPr="00297505">
        <w:rPr>
          <w:b/>
          <w:highlight w:val="yellow"/>
        </w:rPr>
        <w:t>]</w:t>
      </w:r>
      <w:r w:rsidR="003A6739">
        <w:rPr>
          <w:b/>
        </w:rPr>
        <w:t xml:space="preserve"> </w:t>
      </w:r>
      <w:r w:rsidR="003A6739" w:rsidRPr="00D1569D">
        <w:rPr>
          <w:rStyle w:val="FootnoteReference"/>
          <w:b/>
          <w:color w:val="FF0000"/>
          <w:highlight w:val="yellow"/>
        </w:rPr>
        <w:footnoteReference w:id="6"/>
      </w:r>
      <w:r w:rsidR="003A6739" w:rsidRPr="00F74F6A">
        <w:rPr>
          <w:color w:val="FF0000"/>
        </w:rPr>
        <w:t xml:space="preserve">  </w:t>
      </w:r>
    </w:p>
    <w:p w14:paraId="3CB87F2B" w14:textId="77777777" w:rsidR="00632217" w:rsidRDefault="00632217" w:rsidP="003E1AB9">
      <w:pPr>
        <w:pStyle w:val="Heading2"/>
        <w:widowControl w:val="0"/>
        <w:tabs>
          <w:tab w:val="left" w:pos="2160"/>
        </w:tabs>
        <w:jc w:val="both"/>
      </w:pPr>
      <w:r w:rsidRPr="00AB754D">
        <w:t>The</w:t>
      </w:r>
      <w:r>
        <w:t xml:space="preserve"> Employee understands and agrees that the above-stated consideration has been mutually agreed upon by the Company and the Employee, is fair and reasonable, and is sufficient consideration in exchange for the restrictions set forth in this Section 1.      </w:t>
      </w:r>
      <w:bookmarkEnd w:id="4"/>
    </w:p>
    <w:p w14:paraId="0CF35BCE" w14:textId="77777777" w:rsidR="00632217" w:rsidRDefault="00632217" w:rsidP="003E1AB9">
      <w:pPr>
        <w:pStyle w:val="Heading1"/>
        <w:keepNext w:val="0"/>
        <w:widowControl w:val="0"/>
        <w:numPr>
          <w:ilvl w:val="0"/>
          <w:numId w:val="28"/>
        </w:numPr>
        <w:tabs>
          <w:tab w:val="left" w:pos="1440"/>
        </w:tabs>
        <w:jc w:val="both"/>
      </w:pPr>
      <w:r>
        <w:rPr>
          <w:u w:val="single"/>
        </w:rPr>
        <w:t>Non-Solicitation.</w:t>
      </w:r>
    </w:p>
    <w:p w14:paraId="6F15B6BD" w14:textId="77777777" w:rsidR="00632217" w:rsidRDefault="00632217" w:rsidP="003E1AB9">
      <w:pPr>
        <w:pStyle w:val="Heading2"/>
        <w:widowControl w:val="0"/>
        <w:numPr>
          <w:ilvl w:val="1"/>
          <w:numId w:val="28"/>
        </w:numPr>
        <w:tabs>
          <w:tab w:val="left" w:pos="1440"/>
        </w:tabs>
        <w:ind w:firstLine="720"/>
        <w:jc w:val="both"/>
      </w:pPr>
      <w:r>
        <w:t>While the Employee is employed by the Company and for a period of twelve (12) months after the termination or cessation of such employment for any reason, the Employee will not directly or indirectly:</w:t>
      </w:r>
    </w:p>
    <w:p w14:paraId="2F1066C0" w14:textId="77777777" w:rsidR="00632217" w:rsidRDefault="00632217" w:rsidP="003E1AB9">
      <w:pPr>
        <w:pStyle w:val="Heading2"/>
        <w:widowControl w:val="0"/>
        <w:ind w:firstLine="2070"/>
        <w:jc w:val="both"/>
      </w:pPr>
      <w:r>
        <w:t>(i)</w:t>
      </w:r>
      <w:r>
        <w:tab/>
        <w:t xml:space="preserve">Either alone or in association with others, solicit, </w:t>
      </w:r>
      <w:proofErr w:type="gramStart"/>
      <w:r>
        <w:t>divert</w:t>
      </w:r>
      <w:proofErr w:type="gramEnd"/>
      <w:r>
        <w:t xml:space="preserve"> or take away, or attempt to divert or take away, the business or patronage of any of the actual or prospective clients, customers, accounts or business partners of the Company which were contacted, solicited, or served by the Company during the Employee’s employment with the Company; or</w:t>
      </w:r>
    </w:p>
    <w:p w14:paraId="2342916B" w14:textId="77777777" w:rsidR="00632217" w:rsidRDefault="00632217" w:rsidP="003E1AB9">
      <w:pPr>
        <w:pStyle w:val="Heading2"/>
        <w:widowControl w:val="0"/>
        <w:ind w:firstLine="2070"/>
        <w:jc w:val="both"/>
      </w:pPr>
      <w:r>
        <w:t>(ii)</w:t>
      </w:r>
      <w:r>
        <w:tab/>
        <w:t xml:space="preserve">Either alone or in association with others (I) solicit, induce or attempt to induce, any employee or independent contractor of the Company to terminate his or her employment or other engagement with the Company, or (II) hire or recruit, or attempt to hire or recruit, or engage or attempt to engage as an independent contractor, any person who was employed or otherwise engaged by the Company at any time during the term of the Employee’s employment with the Company; </w:t>
      </w:r>
      <w:r w:rsidRPr="002978D3">
        <w:rPr>
          <w:u w:val="single"/>
        </w:rPr>
        <w:t>provided</w:t>
      </w:r>
      <w:r>
        <w:t>, that this clause (II) shall not apply to the recruitment or hiring or other engagement of any individual whose employment or other engagement with the Company ended at least six (6) months before the recruitment, hiring, or other engagement.</w:t>
      </w:r>
    </w:p>
    <w:p w14:paraId="4BD17C27" w14:textId="77777777" w:rsidR="00632217" w:rsidRPr="002978D3" w:rsidRDefault="00632217" w:rsidP="003E1AB9">
      <w:pPr>
        <w:pStyle w:val="Heading2"/>
        <w:widowControl w:val="0"/>
        <w:numPr>
          <w:ilvl w:val="1"/>
          <w:numId w:val="28"/>
        </w:numPr>
        <w:ind w:firstLine="720"/>
        <w:jc w:val="both"/>
      </w:pPr>
      <w:r>
        <w:t xml:space="preserve">If the Employee violates the provisions of any of the preceding paragraphs of this Section 2, the Employee shall continue to be bound by the restrictions set forth in such paragraph until a period of twelve (12) months has expired without any violation of such provisions.  Further, the twelve (12) month post-employment restrictions set forth in this Section 2 </w:t>
      </w:r>
      <w:r w:rsidRPr="00CF7D68">
        <w:t>shall be extended to two (2) years</w:t>
      </w:r>
      <w:r>
        <w:t xml:space="preserve"> </w:t>
      </w:r>
      <w:r w:rsidRPr="00CF7D68">
        <w:t xml:space="preserve">if </w:t>
      </w:r>
      <w:r>
        <w:t xml:space="preserve">the Employee </w:t>
      </w:r>
      <w:r w:rsidRPr="00CF7D68">
        <w:t>breach</w:t>
      </w:r>
      <w:r>
        <w:t>es</w:t>
      </w:r>
      <w:r w:rsidRPr="00CF7D68">
        <w:t xml:space="preserve"> a fiduciary duty to the Company or </w:t>
      </w:r>
      <w:r>
        <w:t>the Employee</w:t>
      </w:r>
      <w:r w:rsidRPr="00CF7D68">
        <w:t xml:space="preserve"> unlawfully take</w:t>
      </w:r>
      <w:r>
        <w:t>s</w:t>
      </w:r>
      <w:r w:rsidRPr="00CF7D68">
        <w:t>, physically or electronically, any property belonging to the Company.</w:t>
      </w:r>
      <w:r>
        <w:t xml:space="preserve"> </w:t>
      </w:r>
    </w:p>
    <w:p w14:paraId="3E94CC8B" w14:textId="13A22747" w:rsidR="00632217" w:rsidRPr="00783BFC" w:rsidRDefault="00632217" w:rsidP="003E1AB9">
      <w:pPr>
        <w:pStyle w:val="Heading1"/>
        <w:keepNext w:val="0"/>
        <w:widowControl w:val="0"/>
        <w:numPr>
          <w:ilvl w:val="0"/>
          <w:numId w:val="28"/>
        </w:numPr>
        <w:tabs>
          <w:tab w:val="left" w:pos="1440"/>
        </w:tabs>
        <w:jc w:val="both"/>
      </w:pPr>
      <w:r w:rsidRPr="007C7566">
        <w:rPr>
          <w:u w:val="single"/>
        </w:rPr>
        <w:t>Notice of New Business Activities</w:t>
      </w:r>
      <w:r>
        <w:t xml:space="preserve">.  </w:t>
      </w:r>
      <w:r w:rsidRPr="002978D3">
        <w:t xml:space="preserve">The Employee agrees that during </w:t>
      </w:r>
      <w:r>
        <w:t xml:space="preserve">any </w:t>
      </w:r>
      <w:proofErr w:type="gramStart"/>
      <w:r>
        <w:t>period of time</w:t>
      </w:r>
      <w:proofErr w:type="gramEnd"/>
      <w:r>
        <w:t xml:space="preserve"> when the Employee is subject to restrictions pursuant to either Section 1 or Section 2, </w:t>
      </w:r>
      <w:r w:rsidRPr="002978D3">
        <w:t xml:space="preserve">the </w:t>
      </w:r>
      <w:r w:rsidRPr="002978D3">
        <w:lastRenderedPageBreak/>
        <w:t xml:space="preserve">Employee will </w:t>
      </w:r>
      <w:r w:rsidRPr="00783BFC">
        <w:t>notify any prospective employer or business associate of the terms and existence of this Agreement and the Employee’s continuing obligations to the Company hereunder</w:t>
      </w:r>
      <w:r>
        <w:t>.  The Employee further agrees, during such period, to</w:t>
      </w:r>
      <w:r w:rsidRPr="00783BFC">
        <w:t xml:space="preserve"> </w:t>
      </w:r>
      <w:r w:rsidRPr="002978D3">
        <w:t xml:space="preserve">give notice to the Company of each new </w:t>
      </w:r>
      <w:r>
        <w:t xml:space="preserve">business activity the Employee </w:t>
      </w:r>
      <w:r w:rsidRPr="002978D3">
        <w:t>plans to undertake, at least (10) business days prior to beginning any such activity.  The notice shall state the name and address of the individual, corporation, association or other entity or organization (“Entity”) for whom such activity is undertaken and the name of the Employee’s business rel</w:t>
      </w:r>
      <w:r w:rsidR="003A6739">
        <w:t>ationship or position with the E</w:t>
      </w:r>
      <w:r w:rsidRPr="002978D3">
        <w:t xml:space="preserve">ntity.  The Employee </w:t>
      </w:r>
      <w:r>
        <w:t>also</w:t>
      </w:r>
      <w:r w:rsidRPr="002978D3">
        <w:t xml:space="preserve"> agrees to provide the Company with other pertinent information concerning such business activity as the Company may reasonably request </w:t>
      </w:r>
      <w:proofErr w:type="gramStart"/>
      <w:r w:rsidRPr="002978D3">
        <w:t>in order to</w:t>
      </w:r>
      <w:proofErr w:type="gramEnd"/>
      <w:r w:rsidRPr="002978D3">
        <w:t xml:space="preserve"> determine the Employee’s continued compliance with his</w:t>
      </w:r>
      <w:r>
        <w:t>/her</w:t>
      </w:r>
      <w:r w:rsidRPr="002978D3">
        <w:t xml:space="preserve"> obligations under this Agreement.  </w:t>
      </w:r>
      <w:r w:rsidR="00EE0C0F" w:rsidRPr="00C155F2">
        <w:t>The Employee hereby authorizes the Company to notify others, including but not limited to customers of the Company and any of the Employee’s future employers or prospective business associates, of the terms and existence of this Agreement and the Employee’s continuing obligations to the Company hereunder</w:t>
      </w:r>
      <w:r w:rsidR="00EE0C0F">
        <w:t>.</w:t>
      </w:r>
    </w:p>
    <w:p w14:paraId="6D77CB4F" w14:textId="77777777" w:rsidR="00632217" w:rsidRDefault="00632217" w:rsidP="003E1AB9">
      <w:pPr>
        <w:pStyle w:val="Heading1"/>
        <w:keepNext w:val="0"/>
        <w:widowControl w:val="0"/>
        <w:numPr>
          <w:ilvl w:val="0"/>
          <w:numId w:val="28"/>
        </w:numPr>
        <w:tabs>
          <w:tab w:val="left" w:pos="1440"/>
        </w:tabs>
        <w:jc w:val="both"/>
      </w:pPr>
      <w:r w:rsidRPr="007C7566">
        <w:rPr>
          <w:u w:val="single"/>
        </w:rPr>
        <w:t>Miscellaneous</w:t>
      </w:r>
      <w:r>
        <w:t>.</w:t>
      </w:r>
    </w:p>
    <w:p w14:paraId="27BF753C" w14:textId="40CAB2E2" w:rsidR="00632217" w:rsidRDefault="00632217" w:rsidP="003E1AB9">
      <w:pPr>
        <w:pStyle w:val="Heading2"/>
        <w:widowControl w:val="0"/>
        <w:numPr>
          <w:ilvl w:val="1"/>
          <w:numId w:val="28"/>
        </w:numPr>
        <w:tabs>
          <w:tab w:val="left" w:pos="1440"/>
        </w:tabs>
        <w:ind w:firstLine="720"/>
        <w:jc w:val="both"/>
      </w:pPr>
      <w:r>
        <w:rPr>
          <w:u w:val="single"/>
        </w:rPr>
        <w:t>Equitable Remedies</w:t>
      </w:r>
      <w:r>
        <w:t>.  The Employee acknowledges that the restrictions contained in this Agreement are necessary for the protection of the business and goodwill of the Company and are considered by the Employee to be reasonable for such purpose.  The Employee agrees that any breach or threatened breach of this Agreement is likely to cause the Company substantial and irrevocable damage which is difficult to measure.  Therefore, in the event of any such breach or threatened breach, the Employee agrees that the Company, in addition to such other remedies which may be available, shall have the right to obtain an injunction from a court restraining such a breach or threatened breach without posting a bond and the right to specific performance of the provisions of this Agreement and the Employee hereby waives the adequacy of a remedy at law as a defense to such relief.</w:t>
      </w:r>
      <w:r w:rsidR="00623DC5">
        <w:t xml:space="preserve">  Additionally, the Employee acknowledges and agrees that the non-solicitation obligations herein are essential to the protection of the Company’s legitimate business interests and further that such interests cannot be adequately protected without the non-competition obligations set forth in Section 1.</w:t>
      </w:r>
    </w:p>
    <w:p w14:paraId="7701490C" w14:textId="77777777" w:rsidR="00632217" w:rsidRDefault="00632217" w:rsidP="003E1AB9">
      <w:pPr>
        <w:pStyle w:val="Heading2"/>
        <w:widowControl w:val="0"/>
        <w:numPr>
          <w:ilvl w:val="1"/>
          <w:numId w:val="28"/>
        </w:numPr>
        <w:tabs>
          <w:tab w:val="left" w:pos="1440"/>
        </w:tabs>
        <w:ind w:firstLine="720"/>
        <w:jc w:val="both"/>
      </w:pPr>
      <w:r>
        <w:rPr>
          <w:u w:val="single"/>
        </w:rPr>
        <w:t>Obligations to Third Parties</w:t>
      </w:r>
      <w:r>
        <w:t xml:space="preserve">.  The Employee represents that, except as the Employee has disclosed in writing to the Company, the Employee is not bound by the terms of any agreement with any previous employer or other party to refrain from using or disclosing any trade secret or confidential or proprietary information in the course of his/her employment with the Company, to refrain from competing, directly or indirectly, with the business of such previous employer or any other party, or to refrain from soliciting employees, customers or suppliers of such previous employer or other party.  The Employee further represents that his/her performance of all the terms of this Agreement and the performance of his/her duties as an employee of the Company does not and will not conflict with or breach any agreement with any prior employer or other party (including, without limitation, any nondisclosure or non-competition agreement), and that the Employee will not disclose to the Company or induce the Company to use any confidential or proprietary information or material belonging to any previous employer or others.  </w:t>
      </w:r>
    </w:p>
    <w:p w14:paraId="075C51CA" w14:textId="77777777" w:rsidR="00632217" w:rsidRDefault="00632217" w:rsidP="003E1AB9">
      <w:pPr>
        <w:pStyle w:val="Heading2"/>
        <w:widowControl w:val="0"/>
        <w:numPr>
          <w:ilvl w:val="1"/>
          <w:numId w:val="28"/>
        </w:numPr>
        <w:tabs>
          <w:tab w:val="left" w:pos="1440"/>
        </w:tabs>
        <w:ind w:firstLine="720"/>
        <w:jc w:val="both"/>
      </w:pPr>
      <w:r w:rsidRPr="00783BFC">
        <w:rPr>
          <w:u w:val="single"/>
        </w:rPr>
        <w:t>Not Employment Contract</w:t>
      </w:r>
      <w:r>
        <w:t xml:space="preserve">.  The Employee acknowledges that this Agreement does not constitute a contract of employment, does not imply that the Company will continue his/her employment for any </w:t>
      </w:r>
      <w:proofErr w:type="gramStart"/>
      <w:r>
        <w:t>period of time</w:t>
      </w:r>
      <w:proofErr w:type="gramEnd"/>
      <w:r>
        <w:t>, and does not change the at-will nature of his/her employment.</w:t>
      </w:r>
    </w:p>
    <w:p w14:paraId="7BBA72BE" w14:textId="77777777" w:rsidR="00632217" w:rsidRDefault="00632217" w:rsidP="003E1AB9">
      <w:pPr>
        <w:pStyle w:val="Heading2"/>
        <w:widowControl w:val="0"/>
        <w:numPr>
          <w:ilvl w:val="1"/>
          <w:numId w:val="28"/>
        </w:numPr>
        <w:tabs>
          <w:tab w:val="left" w:pos="1440"/>
        </w:tabs>
        <w:ind w:firstLine="720"/>
        <w:jc w:val="both"/>
      </w:pPr>
      <w:r w:rsidRPr="00437177">
        <w:rPr>
          <w:u w:val="single"/>
        </w:rPr>
        <w:t>Acknowledgments</w:t>
      </w:r>
      <w:r>
        <w:t xml:space="preserve">.  </w:t>
      </w:r>
      <w:bookmarkStart w:id="5" w:name="_Hlk523415559"/>
    </w:p>
    <w:p w14:paraId="5C6F6AE2" w14:textId="77777777" w:rsidR="00623DC5" w:rsidRDefault="00623DC5" w:rsidP="003E1AB9">
      <w:pPr>
        <w:pStyle w:val="Heading2"/>
        <w:widowControl w:val="0"/>
      </w:pPr>
      <w:r>
        <w:t xml:space="preserve">The Employee acknowledges that he or she has the right to consult with counsel prior to signing this </w:t>
      </w:r>
      <w:r>
        <w:lastRenderedPageBreak/>
        <w:t xml:space="preserve">Agreement.   </w:t>
      </w:r>
    </w:p>
    <w:p w14:paraId="396444C5" w14:textId="77777777" w:rsidR="00623DC5" w:rsidRDefault="00623DC5" w:rsidP="003E1AB9">
      <w:pPr>
        <w:pStyle w:val="Heading2"/>
        <w:widowControl w:val="0"/>
        <w:rPr>
          <w:highlight w:val="yellow"/>
        </w:rPr>
      </w:pPr>
      <w:r w:rsidRPr="002B4E61">
        <w:rPr>
          <w:highlight w:val="yellow"/>
        </w:rPr>
        <w:t>[</w:t>
      </w:r>
      <w:r w:rsidRPr="002B4E61">
        <w:rPr>
          <w:b/>
          <w:i/>
          <w:highlight w:val="yellow"/>
        </w:rPr>
        <w:t xml:space="preserve">For prospective </w:t>
      </w:r>
      <w:r w:rsidRPr="000B0318">
        <w:rPr>
          <w:b/>
          <w:i/>
          <w:highlight w:val="yellow"/>
        </w:rPr>
        <w:t>employees</w:t>
      </w:r>
      <w:r w:rsidRPr="000B0318">
        <w:rPr>
          <w:highlight w:val="yellow"/>
        </w:rPr>
        <w:t xml:space="preserve">:  The Employee </w:t>
      </w:r>
      <w:r>
        <w:rPr>
          <w:highlight w:val="yellow"/>
        </w:rPr>
        <w:t xml:space="preserve">further </w:t>
      </w:r>
      <w:r w:rsidRPr="000B0318">
        <w:rPr>
          <w:highlight w:val="yellow"/>
        </w:rPr>
        <w:t xml:space="preserve">acknowledges that he or she was provided this Agreement by the earlier of </w:t>
      </w:r>
      <w:r>
        <w:rPr>
          <w:highlight w:val="yellow"/>
        </w:rPr>
        <w:t xml:space="preserve">the date of </w:t>
      </w:r>
      <w:r w:rsidRPr="000B0318">
        <w:rPr>
          <w:highlight w:val="yellow"/>
        </w:rPr>
        <w:t>(x) a formal offer of employment, and (y) ten (10) business days prior to the Employee’s commencement of employment with the Company</w:t>
      </w:r>
      <w:r w:rsidRPr="002A0DA4">
        <w:rPr>
          <w:highlight w:val="yellow"/>
        </w:rPr>
        <w:t xml:space="preserve">.] </w:t>
      </w:r>
    </w:p>
    <w:p w14:paraId="5C04BB83" w14:textId="56AF017F" w:rsidR="00632217" w:rsidRDefault="00623DC5" w:rsidP="003E1AB9">
      <w:pPr>
        <w:pStyle w:val="Heading2"/>
        <w:widowControl w:val="0"/>
        <w:jc w:val="both"/>
      </w:pPr>
      <w:r w:rsidRPr="002A0DA4">
        <w:rPr>
          <w:highlight w:val="yellow"/>
        </w:rPr>
        <w:t>[</w:t>
      </w:r>
      <w:r w:rsidRPr="00115572">
        <w:rPr>
          <w:b/>
          <w:i/>
          <w:highlight w:val="yellow"/>
        </w:rPr>
        <w:t>For current employees</w:t>
      </w:r>
      <w:r w:rsidRPr="00115572">
        <w:rPr>
          <w:highlight w:val="yellow"/>
        </w:rPr>
        <w:t>:  The Employee further acknowledges that this Agreement is supported by fair and reasonable consideration independent from the Employee’s continued employment, that the Employee has been provided at least ten (10) business days to review this Agreement, and that this Agreement shall not take effect until the eleventh (11th) business day following the date on which the Company provided it to the Employee for review and execution.</w:t>
      </w:r>
      <w:r w:rsidRPr="002A0DA4">
        <w:rPr>
          <w:highlight w:val="yellow"/>
        </w:rPr>
        <w:t>]</w:t>
      </w:r>
      <w:r w:rsidR="00632217">
        <w:t xml:space="preserve">   </w:t>
      </w:r>
      <w:bookmarkEnd w:id="5"/>
    </w:p>
    <w:p w14:paraId="3C9A82B5" w14:textId="113570AE" w:rsidR="00632217" w:rsidRDefault="00632217" w:rsidP="003E1AB9">
      <w:pPr>
        <w:pStyle w:val="Heading2"/>
        <w:widowControl w:val="0"/>
        <w:numPr>
          <w:ilvl w:val="1"/>
          <w:numId w:val="28"/>
        </w:numPr>
        <w:tabs>
          <w:tab w:val="left" w:pos="1440"/>
        </w:tabs>
        <w:ind w:firstLine="720"/>
        <w:jc w:val="both"/>
      </w:pPr>
      <w:r w:rsidRPr="00437177">
        <w:rPr>
          <w:u w:val="single"/>
        </w:rPr>
        <w:t>Successors and Assigns</w:t>
      </w:r>
      <w:r>
        <w:t xml:space="preserve">.  </w:t>
      </w:r>
      <w:r w:rsidR="00623DC5">
        <w:t>T</w:t>
      </w:r>
      <w:r w:rsidR="00623DC5" w:rsidRPr="004D3E48">
        <w:t xml:space="preserve">he </w:t>
      </w:r>
      <w:r w:rsidR="00623DC5">
        <w:t xml:space="preserve">Employee’s obligations under this Agreement </w:t>
      </w:r>
      <w:r w:rsidR="00623DC5" w:rsidRPr="004D3E48">
        <w:t>are personal and shall not be assigned by the Employee.</w:t>
      </w:r>
      <w:r w:rsidR="00623DC5">
        <w:t xml:space="preserve">  This Agreement </w:t>
      </w:r>
      <w:r w:rsidR="00623DC5" w:rsidRPr="004D3E48">
        <w:t>shall</w:t>
      </w:r>
      <w:r w:rsidR="00623DC5">
        <w:t>,</w:t>
      </w:r>
      <w:r w:rsidR="00623DC5" w:rsidRPr="004D3E48">
        <w:t xml:space="preserve"> </w:t>
      </w:r>
      <w:r w:rsidR="00623DC5">
        <w:t xml:space="preserve">however, </w:t>
      </w:r>
      <w:r w:rsidR="00623DC5" w:rsidRPr="004D3E48">
        <w:t xml:space="preserve">be binding upon and inure to the benefit of </w:t>
      </w:r>
      <w:r w:rsidR="00623DC5">
        <w:t xml:space="preserve">the Company and its </w:t>
      </w:r>
      <w:r w:rsidR="00623DC5" w:rsidRPr="004D3E48">
        <w:t xml:space="preserve">successors and assigns, including any corporation or entity with which or into which the Company may be merged or that may succeed to all or substantially </w:t>
      </w:r>
      <w:proofErr w:type="gramStart"/>
      <w:r w:rsidR="00623DC5" w:rsidRPr="004D3E48">
        <w:t>all of</w:t>
      </w:r>
      <w:proofErr w:type="gramEnd"/>
      <w:r w:rsidR="00623DC5" w:rsidRPr="004D3E48">
        <w:t xml:space="preserve"> its assets or business</w:t>
      </w:r>
      <w:r w:rsidR="00623DC5">
        <w:t>.</w:t>
      </w:r>
      <w:r w:rsidR="00623DC5" w:rsidRPr="004D3E48">
        <w:t xml:space="preserve"> </w:t>
      </w:r>
      <w:r w:rsidR="00623DC5">
        <w:t xml:space="preserve"> The Employee expressly consents to be bound by the provisions of this Agreement for the benefit of any successor or assign of the Company without the necessity that this Agreement be re-signed, in which event “</w:t>
      </w:r>
      <w:r w:rsidR="00623DC5" w:rsidRPr="00287964">
        <w:t>Company</w:t>
      </w:r>
      <w:r w:rsidR="00623DC5">
        <w:t>”</w:t>
      </w:r>
      <w:r w:rsidR="00623DC5" w:rsidRPr="00287964">
        <w:t xml:space="preserve"> shall be interpreted to include any </w:t>
      </w:r>
      <w:r w:rsidR="00623DC5">
        <w:t>successor or assign of the Company</w:t>
      </w:r>
      <w:r>
        <w:t xml:space="preserve">.  </w:t>
      </w:r>
    </w:p>
    <w:p w14:paraId="0E9525BC" w14:textId="77777777" w:rsidR="00632217" w:rsidRDefault="00632217" w:rsidP="003E1AB9">
      <w:pPr>
        <w:pStyle w:val="Heading2"/>
        <w:widowControl w:val="0"/>
        <w:numPr>
          <w:ilvl w:val="1"/>
          <w:numId w:val="28"/>
        </w:numPr>
        <w:tabs>
          <w:tab w:val="left" w:pos="1440"/>
        </w:tabs>
        <w:ind w:firstLine="720"/>
        <w:jc w:val="both"/>
      </w:pPr>
      <w:r>
        <w:rPr>
          <w:u w:val="single"/>
        </w:rPr>
        <w:t>Interpretation</w:t>
      </w:r>
      <w:r>
        <w:t>.  If any restriction or definition set forth in Section 1 or Section 2 is found by any court of competent jurisdiction to be unenforceable because it extends for too long a period of time or over too great a range of conduct, activities, or geographic area, it shall be interpreted to extend only over the maximum period of time, range of conduct, activities or geographic area as to which it may be enforceable.</w:t>
      </w:r>
    </w:p>
    <w:p w14:paraId="0AD557D2" w14:textId="77777777" w:rsidR="00632217" w:rsidRDefault="00632217" w:rsidP="003E1AB9">
      <w:pPr>
        <w:pStyle w:val="Heading2"/>
        <w:widowControl w:val="0"/>
        <w:numPr>
          <w:ilvl w:val="1"/>
          <w:numId w:val="28"/>
        </w:numPr>
        <w:tabs>
          <w:tab w:val="left" w:pos="1440"/>
        </w:tabs>
        <w:ind w:firstLine="720"/>
        <w:jc w:val="both"/>
      </w:pPr>
      <w:r>
        <w:rPr>
          <w:u w:val="single"/>
        </w:rPr>
        <w:t>Severability</w:t>
      </w:r>
      <w:r>
        <w:t xml:space="preserve">.  In case any provision of this Agreement shall be invalid, </w:t>
      </w:r>
      <w:proofErr w:type="gramStart"/>
      <w:r>
        <w:t>illegal</w:t>
      </w:r>
      <w:proofErr w:type="gramEnd"/>
      <w:r>
        <w:t xml:space="preserve"> or otherwise unenforceable, the validity, legality and enforceability of the remaining provisions shall in no way be affected or impaired thereby.</w:t>
      </w:r>
    </w:p>
    <w:p w14:paraId="3596C172" w14:textId="77777777" w:rsidR="00632217" w:rsidRDefault="00632217" w:rsidP="003E1AB9">
      <w:pPr>
        <w:pStyle w:val="Heading2"/>
        <w:widowControl w:val="0"/>
        <w:numPr>
          <w:ilvl w:val="1"/>
          <w:numId w:val="28"/>
        </w:numPr>
        <w:tabs>
          <w:tab w:val="left" w:pos="1440"/>
        </w:tabs>
        <w:ind w:firstLine="720"/>
        <w:jc w:val="both"/>
      </w:pPr>
      <w:r>
        <w:rPr>
          <w:u w:val="single"/>
        </w:rPr>
        <w:t>Waivers</w:t>
      </w:r>
      <w:r>
        <w:t>.  No delay or omission by the Company in exercising any right under this Agreement will operate as a waiver of that or any other right.  A waiver or consent given by the Company on any one occasion is effective only in that instance and will not be construed as a bar to or waiver of any right on any other occasion.</w:t>
      </w:r>
    </w:p>
    <w:p w14:paraId="7388080E" w14:textId="77ADA07C" w:rsidR="00632217" w:rsidRDefault="00632217" w:rsidP="003E1AB9">
      <w:pPr>
        <w:pStyle w:val="Heading2"/>
        <w:widowControl w:val="0"/>
        <w:numPr>
          <w:ilvl w:val="1"/>
          <w:numId w:val="28"/>
        </w:numPr>
        <w:tabs>
          <w:tab w:val="left" w:pos="1440"/>
        </w:tabs>
        <w:ind w:firstLine="720"/>
        <w:jc w:val="both"/>
      </w:pPr>
      <w:r>
        <w:rPr>
          <w:u w:val="single"/>
        </w:rPr>
        <w:t>Tax Withholding; Section 409A</w:t>
      </w:r>
      <w:r>
        <w:t xml:space="preserve">.  Any compensatory payments under or referred to in this Agreement will be subject to all required tax and other withholdings.  </w:t>
      </w:r>
      <w:r w:rsidRPr="00B57426">
        <w:t>This Agreement is intended to comply with or be exempt from the provisions of Section 409A</w:t>
      </w:r>
      <w:r>
        <w:t xml:space="preserve"> of the Internal Revenue Code of 1986, as amended (“Section 409A”)</w:t>
      </w:r>
      <w:r w:rsidRPr="00B57426">
        <w:t xml:space="preserve"> and the Agreement will, to the extent practicable, be construed in accordance therewith.  Terms defined in </w:t>
      </w:r>
      <w:r>
        <w:t>this</w:t>
      </w:r>
      <w:r w:rsidRPr="00B57426">
        <w:t xml:space="preserve"> Agreement will have the meanings given such terms under Section 409A if and to the extent required to comply with Section 409A</w:t>
      </w:r>
      <w:r w:rsidRPr="001A7D35">
        <w:t xml:space="preserve"> </w:t>
      </w:r>
      <w:r>
        <w:t xml:space="preserve">and </w:t>
      </w:r>
      <w:r w:rsidRPr="00B57426">
        <w:t xml:space="preserve">a termination of employment </w:t>
      </w:r>
      <w:r>
        <w:t>will mean</w:t>
      </w:r>
      <w:r w:rsidRPr="00B57426">
        <w:t xml:space="preserve"> a “separation from service” as defined in Section 409A.</w:t>
      </w:r>
      <w:r w:rsidRPr="001A7D35">
        <w:t xml:space="preserve"> </w:t>
      </w:r>
      <w:r w:rsidRPr="00B57426">
        <w:t xml:space="preserve">For purposes of this Agreement, each amount to be paid or benefit to be provided, including a series of installment payments, will be construed as a separate identified payment for purposes of Section 409A. </w:t>
      </w:r>
      <w:r>
        <w:t xml:space="preserve"> </w:t>
      </w:r>
      <w:r w:rsidRPr="00B57426">
        <w:t xml:space="preserve">If and to the extent any portion of any payment, compensation or other benefit provided to </w:t>
      </w:r>
      <w:r>
        <w:t>the Employee</w:t>
      </w:r>
      <w:r w:rsidRPr="00B57426">
        <w:t xml:space="preserve"> in connection with </w:t>
      </w:r>
      <w:r>
        <w:t>his/her</w:t>
      </w:r>
      <w:r w:rsidRPr="00B57426">
        <w:t xml:space="preserve"> separation from service (as defined in Section 409A) is determined to constitute “nonqualified deferred compensation” within the meaning of Section 409A and </w:t>
      </w:r>
      <w:r>
        <w:t>the Employee is</w:t>
      </w:r>
      <w:r w:rsidRPr="00B57426">
        <w:t xml:space="preserve"> a specified employee as defined in Section 409A(a)(2)(B)(i) of the Code, as determined </w:t>
      </w:r>
      <w:r w:rsidRPr="00B57426">
        <w:lastRenderedPageBreak/>
        <w:t xml:space="preserve">by the Company in accordance with its procedures, by which determination </w:t>
      </w:r>
      <w:r>
        <w:t>the Employee</w:t>
      </w:r>
      <w:r w:rsidRPr="00B57426">
        <w:t xml:space="preserve"> hereby agrees that </w:t>
      </w:r>
      <w:r>
        <w:t>he/she is</w:t>
      </w:r>
      <w:r w:rsidRPr="00B57426">
        <w:t xml:space="preserve"> bound, such portion of the payment, compensation or other benefit will not be paid before the earlier of (i) the day that is six months plus one day after the date of separation from service (as determined under Section 409A) or (ii) the tenth day after the date of </w:t>
      </w:r>
      <w:r>
        <w:t>his/her</w:t>
      </w:r>
      <w:r w:rsidRPr="00B57426">
        <w:t xml:space="preserve"> death (as applicable, the “</w:t>
      </w:r>
      <w:r w:rsidRPr="00796819">
        <w:t>New Payment Date</w:t>
      </w:r>
      <w:r w:rsidRPr="00B57426">
        <w:t xml:space="preserve">”).  The aggregate of any payments that otherwise would have been paid to </w:t>
      </w:r>
      <w:r>
        <w:t>the Employee</w:t>
      </w:r>
      <w:r w:rsidRPr="00B57426">
        <w:t xml:space="preserve"> during the period between the date of separation from service and the New Payment Date will be paid to </w:t>
      </w:r>
      <w:r>
        <w:t>the Employee</w:t>
      </w:r>
      <w:r w:rsidRPr="00B57426">
        <w:t xml:space="preserve"> in a lump sum in the first payroll period beginning after such New Payment Date (or, with respect to payment after death, as soon as reasonably practicable and within the time limits permitted by Section 409A), and any remaining payments will be paid on their original schedule.</w:t>
      </w:r>
      <w:r w:rsidRPr="001A7D35">
        <w:t xml:space="preserve"> </w:t>
      </w:r>
      <w:r>
        <w:t xml:space="preserve"> </w:t>
      </w:r>
      <w:r w:rsidRPr="00B57426">
        <w:t xml:space="preserve">In any event, the Company makes no representations or warranty and will have no liability to </w:t>
      </w:r>
      <w:r>
        <w:t>the Employee</w:t>
      </w:r>
      <w:r w:rsidRPr="00B57426">
        <w:t xml:space="preserve"> or any other person if any provisions of or payments under this Agreement are determined to constitute deferred compensation subject to Section 409A but not to satisfy the conditions of that section</w:t>
      </w:r>
      <w:r w:rsidR="00623DC5">
        <w:t>.</w:t>
      </w:r>
    </w:p>
    <w:p w14:paraId="59A4EA9F" w14:textId="53C1DC7C" w:rsidR="00623DC5" w:rsidRDefault="00623DC5" w:rsidP="003E1AB9">
      <w:pPr>
        <w:pStyle w:val="ListParagraph"/>
        <w:widowControl w:val="0"/>
        <w:numPr>
          <w:ilvl w:val="1"/>
          <w:numId w:val="28"/>
        </w:numPr>
        <w:ind w:left="0" w:firstLine="720"/>
        <w:jc w:val="both"/>
        <w:rPr>
          <w:szCs w:val="24"/>
          <w:highlight w:val="yellow"/>
        </w:rPr>
      </w:pPr>
      <w:r w:rsidRPr="00623DC5">
        <w:rPr>
          <w:szCs w:val="24"/>
          <w:highlight w:val="yellow"/>
          <w:u w:val="single"/>
        </w:rPr>
        <w:t>Option Exercise Period</w:t>
      </w:r>
      <w:r w:rsidRPr="00623DC5">
        <w:rPr>
          <w:szCs w:val="24"/>
          <w:highlight w:val="yellow"/>
        </w:rPr>
        <w:t xml:space="preserve">.  Notwithstanding anything to the contrary in any other agreement by and between the Employee and the Company, the Employee acknowledges and agrees that if he or she violates any restriction contained in Section 1 or 2 of this Agreement, the Employee’s right to exercise any stock option granted to the Employee by the Company shall terminate immediately upon such violation.  </w:t>
      </w:r>
    </w:p>
    <w:p w14:paraId="4F346E4B" w14:textId="77777777" w:rsidR="00623DC5" w:rsidRPr="00623DC5" w:rsidRDefault="00623DC5" w:rsidP="003E1AB9">
      <w:pPr>
        <w:pStyle w:val="ListParagraph"/>
        <w:widowControl w:val="0"/>
        <w:jc w:val="both"/>
        <w:rPr>
          <w:szCs w:val="24"/>
          <w:highlight w:val="yellow"/>
        </w:rPr>
      </w:pPr>
    </w:p>
    <w:p w14:paraId="44A9F287" w14:textId="5AF29AA6" w:rsidR="00632217" w:rsidRPr="006B20B6" w:rsidRDefault="00632217" w:rsidP="003E1AB9">
      <w:pPr>
        <w:pStyle w:val="Heading2"/>
        <w:widowControl w:val="0"/>
        <w:numPr>
          <w:ilvl w:val="1"/>
          <w:numId w:val="28"/>
        </w:numPr>
        <w:tabs>
          <w:tab w:val="left" w:pos="1440"/>
        </w:tabs>
        <w:ind w:firstLine="720"/>
        <w:jc w:val="both"/>
      </w:pPr>
      <w:r w:rsidRPr="006B20B6">
        <w:rPr>
          <w:u w:val="single"/>
        </w:rPr>
        <w:t xml:space="preserve">Governing Law and Consent </w:t>
      </w:r>
      <w:proofErr w:type="gramStart"/>
      <w:r w:rsidRPr="006B20B6">
        <w:rPr>
          <w:u w:val="single"/>
        </w:rPr>
        <w:t>To</w:t>
      </w:r>
      <w:proofErr w:type="gramEnd"/>
      <w:r w:rsidRPr="006B20B6">
        <w:rPr>
          <w:u w:val="single"/>
        </w:rPr>
        <w:t xml:space="preserve"> Jurisdiction</w:t>
      </w:r>
      <w:r w:rsidRPr="006B20B6">
        <w:t xml:space="preserve">.  This Agreement shall be governed by and construed in accordance with the laws of the Commonwealth of Massachusetts (without reference to the conflicts of </w:t>
      </w:r>
      <w:proofErr w:type="spellStart"/>
      <w:r w:rsidRPr="006B20B6">
        <w:t>laws</w:t>
      </w:r>
      <w:proofErr w:type="spellEnd"/>
      <w:r w:rsidRPr="006B20B6">
        <w:t xml:space="preserve"> provisions thereof).  Any action, suit, or other legal proceeding which is commenced to resolve any matter arising under or relating to any provision of this Agreement shall be commenced only in a court </w:t>
      </w:r>
      <w:r>
        <w:t>in Suffolk County, Massachusetts</w:t>
      </w:r>
      <w:r w:rsidRPr="006B20B6">
        <w:t xml:space="preserve"> (or, if appropriate, a federal court located within Massachusetts), and the Company and the Employee each </w:t>
      </w:r>
      <w:proofErr w:type="gramStart"/>
      <w:r w:rsidRPr="006B20B6">
        <w:t>consents</w:t>
      </w:r>
      <w:proofErr w:type="gramEnd"/>
      <w:r w:rsidRPr="006B20B6">
        <w:t xml:space="preserve"> to the jurisdiction of such </w:t>
      </w:r>
      <w:r>
        <w:t>courts</w:t>
      </w:r>
      <w:r w:rsidRPr="006B20B6">
        <w:t>.  The Company and the Employee each hereby irrevocably waive</w:t>
      </w:r>
      <w:r>
        <w:t>s</w:t>
      </w:r>
      <w:r w:rsidRPr="006B20B6">
        <w:t xml:space="preserve"> any right to a trial by jury in any action, suit or other legal proceeding arising under or relating to any provision of this Agreement.</w:t>
      </w:r>
    </w:p>
    <w:p w14:paraId="46C9FF2E" w14:textId="77777777" w:rsidR="00632217" w:rsidRDefault="00632217" w:rsidP="003E1AB9">
      <w:pPr>
        <w:pStyle w:val="Heading2"/>
        <w:widowControl w:val="0"/>
        <w:numPr>
          <w:ilvl w:val="1"/>
          <w:numId w:val="28"/>
        </w:numPr>
        <w:tabs>
          <w:tab w:val="left" w:pos="1440"/>
        </w:tabs>
        <w:ind w:firstLine="720"/>
        <w:jc w:val="both"/>
      </w:pPr>
      <w:r>
        <w:rPr>
          <w:u w:val="single"/>
        </w:rPr>
        <w:t>Entire Agreement; Amendment</w:t>
      </w:r>
      <w:r>
        <w:t xml:space="preserve">.  This Agreement supersedes all prior agreements, written or oral, between the Employee and the Company relating to the subject matter of this Agreement.  This Agreement may not be modified, </w:t>
      </w:r>
      <w:proofErr w:type="gramStart"/>
      <w:r>
        <w:t>changed</w:t>
      </w:r>
      <w:proofErr w:type="gramEnd"/>
      <w:r>
        <w:t xml:space="preserve"> or discharged in whole or in part, except by an agreement in writing signed by the Employee and the Company.  The Employee agrees that any change or changes in his/her duties, authority, title, reporting relationship, territory, </w:t>
      </w:r>
      <w:proofErr w:type="gramStart"/>
      <w:r>
        <w:t>salary</w:t>
      </w:r>
      <w:proofErr w:type="gramEnd"/>
      <w:r>
        <w:t xml:space="preserve"> or compensation after the signing of this Agreement shall not affect the validity or scope of this Agreement.</w:t>
      </w:r>
    </w:p>
    <w:p w14:paraId="4E4F7541" w14:textId="77777777" w:rsidR="00632217" w:rsidRDefault="00632217" w:rsidP="003E1AB9">
      <w:pPr>
        <w:pStyle w:val="Heading2"/>
        <w:widowControl w:val="0"/>
        <w:numPr>
          <w:ilvl w:val="1"/>
          <w:numId w:val="28"/>
        </w:numPr>
        <w:tabs>
          <w:tab w:val="left" w:pos="1440"/>
        </w:tabs>
        <w:ind w:firstLine="720"/>
        <w:jc w:val="both"/>
      </w:pPr>
      <w:r>
        <w:rPr>
          <w:u w:val="single"/>
        </w:rPr>
        <w:t>Captions</w:t>
      </w:r>
      <w:r>
        <w:t xml:space="preserve">.  The captions of the sections of this Agreement are for convenience of reference only and in no way define, </w:t>
      </w:r>
      <w:proofErr w:type="gramStart"/>
      <w:r>
        <w:t>limit</w:t>
      </w:r>
      <w:proofErr w:type="gramEnd"/>
      <w:r>
        <w:t xml:space="preserve"> or affect the scope or substance of any section of this Agreement.</w:t>
      </w:r>
    </w:p>
    <w:p w14:paraId="40B706D3" w14:textId="77777777" w:rsidR="00632217" w:rsidRDefault="00632217" w:rsidP="00632217">
      <w:pPr>
        <w:pStyle w:val="Heading2"/>
        <w:jc w:val="center"/>
      </w:pPr>
      <w:r>
        <w:t>[</w:t>
      </w:r>
      <w:r w:rsidRPr="002B4E61">
        <w:rPr>
          <w:i/>
        </w:rPr>
        <w:t>Remainder of Page Intentionally Left Blank</w:t>
      </w:r>
      <w:r>
        <w:t>]</w:t>
      </w:r>
    </w:p>
    <w:p w14:paraId="488DB0AE" w14:textId="77777777" w:rsidR="00632217" w:rsidRDefault="00632217" w:rsidP="00632217">
      <w:pPr>
        <w:pStyle w:val="Heading2"/>
        <w:rPr>
          <w:u w:val="single"/>
        </w:rPr>
        <w:sectPr w:rsidR="00632217" w:rsidSect="003E1AB9">
          <w:headerReference w:type="even" r:id="rId16"/>
          <w:headerReference w:type="default" r:id="rId17"/>
          <w:footerReference w:type="even" r:id="rId18"/>
          <w:footerReference w:type="default" r:id="rId19"/>
          <w:headerReference w:type="first" r:id="rId20"/>
          <w:footerReference w:type="first" r:id="rId21"/>
          <w:pgSz w:w="12240" w:h="15840"/>
          <w:pgMar w:top="1152" w:right="1296" w:bottom="1152" w:left="1296" w:header="720" w:footer="720" w:gutter="0"/>
          <w:pgNumType w:start="1"/>
          <w:cols w:space="720"/>
          <w:titlePg/>
        </w:sectPr>
      </w:pPr>
    </w:p>
    <w:p w14:paraId="7EBFEFDA" w14:textId="77777777" w:rsidR="00632217" w:rsidRDefault="00632217" w:rsidP="003E1AB9">
      <w:pPr>
        <w:pStyle w:val="Heading2"/>
        <w:tabs>
          <w:tab w:val="left" w:pos="720"/>
        </w:tabs>
        <w:jc w:val="both"/>
      </w:pPr>
      <w:r>
        <w:lastRenderedPageBreak/>
        <w:tab/>
        <w:t>THE EMPLOYEE ACKNOWLEDGES THAT HE/SHE HAS CAREFULLY READ THIS AGREEMENT AND UNDERSTANDS AND AGREES TO ALL OF THE PROVISIONS IN THIS AGREEMENT.</w:t>
      </w:r>
    </w:p>
    <w:p w14:paraId="24618CF0" w14:textId="77777777" w:rsidR="00632217" w:rsidRDefault="00632217" w:rsidP="00632217">
      <w:pPr>
        <w:pStyle w:val="Heading2"/>
        <w:tabs>
          <w:tab w:val="left" w:pos="720"/>
        </w:tabs>
      </w:pPr>
    </w:p>
    <w:tbl>
      <w:tblPr>
        <w:tblW w:w="0" w:type="auto"/>
        <w:tblLayout w:type="fixed"/>
        <w:tblLook w:val="0000" w:firstRow="0" w:lastRow="0" w:firstColumn="0" w:lastColumn="0" w:noHBand="0" w:noVBand="0"/>
      </w:tblPr>
      <w:tblGrid>
        <w:gridCol w:w="4788"/>
        <w:gridCol w:w="4788"/>
      </w:tblGrid>
      <w:tr w:rsidR="00632217" w14:paraId="1B0194D2" w14:textId="77777777" w:rsidTr="00A73EB6">
        <w:tc>
          <w:tcPr>
            <w:tcW w:w="4788" w:type="dxa"/>
          </w:tcPr>
          <w:p w14:paraId="4D6887B6" w14:textId="77777777" w:rsidR="00632217" w:rsidRDefault="00632217" w:rsidP="00A73EB6">
            <w:pPr>
              <w:suppressAutoHyphens/>
              <w:spacing w:after="240"/>
              <w:rPr>
                <w:highlight w:val="yellow"/>
              </w:rPr>
            </w:pPr>
            <w:bookmarkStart w:id="6" w:name="_Hlk523313821"/>
          </w:p>
        </w:tc>
        <w:tc>
          <w:tcPr>
            <w:tcW w:w="4788" w:type="dxa"/>
          </w:tcPr>
          <w:p w14:paraId="3E2B379F" w14:textId="77777777" w:rsidR="00632217" w:rsidRDefault="00632217" w:rsidP="00A73EB6">
            <w:pPr>
              <w:suppressAutoHyphens/>
              <w:spacing w:after="240"/>
              <w:rPr>
                <w:highlight w:val="yellow"/>
              </w:rPr>
            </w:pPr>
            <w:r w:rsidRPr="004A5286">
              <w:t>EMPLOYEE</w:t>
            </w:r>
          </w:p>
        </w:tc>
      </w:tr>
      <w:tr w:rsidR="00632217" w14:paraId="51E6D102" w14:textId="77777777" w:rsidTr="00A73EB6">
        <w:tc>
          <w:tcPr>
            <w:tcW w:w="4788" w:type="dxa"/>
          </w:tcPr>
          <w:p w14:paraId="26B70FC3" w14:textId="77777777" w:rsidR="00632217" w:rsidRDefault="00632217" w:rsidP="00A73EB6">
            <w:pPr>
              <w:suppressAutoHyphens/>
              <w:spacing w:after="240"/>
              <w:rPr>
                <w:highlight w:val="yellow"/>
              </w:rPr>
            </w:pPr>
            <w:proofErr w:type="gramStart"/>
            <w:r w:rsidRPr="004A5286">
              <w:t>Date:_</w:t>
            </w:r>
            <w:proofErr w:type="gramEnd"/>
            <w:r w:rsidRPr="004A5286">
              <w:t>______________________</w:t>
            </w:r>
          </w:p>
        </w:tc>
        <w:tc>
          <w:tcPr>
            <w:tcW w:w="4788" w:type="dxa"/>
          </w:tcPr>
          <w:p w14:paraId="57E46CA7" w14:textId="77777777" w:rsidR="00632217" w:rsidRPr="004A5286" w:rsidRDefault="00632217" w:rsidP="00A73EB6">
            <w:pPr>
              <w:suppressAutoHyphens/>
            </w:pPr>
            <w:r w:rsidRPr="004A5286">
              <w:t>_______________________________</w:t>
            </w:r>
          </w:p>
          <w:p w14:paraId="71292113" w14:textId="77777777" w:rsidR="00632217" w:rsidRDefault="00632217" w:rsidP="00A73EB6">
            <w:pPr>
              <w:suppressAutoHyphens/>
              <w:rPr>
                <w:highlight w:val="yellow"/>
              </w:rPr>
            </w:pPr>
            <w:r w:rsidRPr="004A5286">
              <w:t xml:space="preserve">Name: </w:t>
            </w:r>
          </w:p>
        </w:tc>
      </w:tr>
      <w:tr w:rsidR="00632217" w14:paraId="776112D9" w14:textId="77777777" w:rsidTr="00A73EB6">
        <w:tc>
          <w:tcPr>
            <w:tcW w:w="4788" w:type="dxa"/>
          </w:tcPr>
          <w:p w14:paraId="1EED245A" w14:textId="77777777" w:rsidR="00632217" w:rsidRDefault="00632217" w:rsidP="00A73EB6">
            <w:pPr>
              <w:suppressAutoHyphens/>
              <w:spacing w:after="240"/>
              <w:rPr>
                <w:highlight w:val="yellow"/>
              </w:rPr>
            </w:pPr>
          </w:p>
        </w:tc>
        <w:tc>
          <w:tcPr>
            <w:tcW w:w="4788" w:type="dxa"/>
          </w:tcPr>
          <w:p w14:paraId="0A985662" w14:textId="77777777" w:rsidR="00632217" w:rsidRDefault="00632217" w:rsidP="00A73EB6">
            <w:pPr>
              <w:suppressAutoHyphens/>
              <w:spacing w:after="240"/>
              <w:rPr>
                <w:highlight w:val="yellow"/>
              </w:rPr>
            </w:pPr>
          </w:p>
          <w:p w14:paraId="11369E3C" w14:textId="77777777" w:rsidR="00632217" w:rsidRDefault="00632217" w:rsidP="00A73EB6">
            <w:pPr>
              <w:suppressAutoHyphens/>
              <w:spacing w:after="240"/>
              <w:rPr>
                <w:highlight w:val="yellow"/>
              </w:rPr>
            </w:pPr>
            <w:r>
              <w:rPr>
                <w:highlight w:val="yellow"/>
              </w:rPr>
              <w:t>[COMPANY]</w:t>
            </w:r>
          </w:p>
        </w:tc>
      </w:tr>
      <w:tr w:rsidR="00632217" w14:paraId="395FC3E0" w14:textId="77777777" w:rsidTr="00A73EB6">
        <w:tc>
          <w:tcPr>
            <w:tcW w:w="4788" w:type="dxa"/>
          </w:tcPr>
          <w:p w14:paraId="621D11BB" w14:textId="77777777" w:rsidR="00632217" w:rsidRDefault="00632217" w:rsidP="00A73EB6">
            <w:pPr>
              <w:suppressAutoHyphens/>
              <w:spacing w:after="240"/>
              <w:rPr>
                <w:highlight w:val="yellow"/>
              </w:rPr>
            </w:pPr>
            <w:r w:rsidRPr="004A5286">
              <w:t>Date: ______________________</w:t>
            </w:r>
          </w:p>
        </w:tc>
        <w:tc>
          <w:tcPr>
            <w:tcW w:w="4788" w:type="dxa"/>
          </w:tcPr>
          <w:p w14:paraId="103E195D" w14:textId="77777777" w:rsidR="00632217" w:rsidRDefault="00632217" w:rsidP="00A73EB6">
            <w:pPr>
              <w:suppressAutoHyphens/>
              <w:spacing w:after="240"/>
              <w:rPr>
                <w:highlight w:val="yellow"/>
              </w:rPr>
            </w:pPr>
            <w:proofErr w:type="gramStart"/>
            <w:r>
              <w:rPr>
                <w:highlight w:val="yellow"/>
              </w:rPr>
              <w:t>By:_</w:t>
            </w:r>
            <w:proofErr w:type="gramEnd"/>
            <w:r>
              <w:rPr>
                <w:highlight w:val="yellow"/>
              </w:rPr>
              <w:t>___________________________</w:t>
            </w:r>
            <w:r>
              <w:rPr>
                <w:highlight w:val="yellow"/>
              </w:rPr>
              <w:br/>
              <w:t>Name:</w:t>
            </w:r>
            <w:r>
              <w:rPr>
                <w:highlight w:val="yellow"/>
              </w:rPr>
              <w:br/>
              <w:t>Title:</w:t>
            </w:r>
          </w:p>
        </w:tc>
      </w:tr>
    </w:tbl>
    <w:p w14:paraId="29EA3FF8" w14:textId="77777777" w:rsidR="00632217" w:rsidRDefault="00632217" w:rsidP="00632217">
      <w:pPr>
        <w:suppressAutoHyphens/>
        <w:spacing w:after="480"/>
      </w:pPr>
    </w:p>
    <w:bookmarkEnd w:id="1"/>
    <w:bookmarkEnd w:id="6"/>
    <w:p w14:paraId="1AA4CD89" w14:textId="77777777" w:rsidR="00632217" w:rsidRPr="002B4E61" w:rsidRDefault="00632217" w:rsidP="00632217">
      <w:pPr>
        <w:spacing w:after="120"/>
        <w:jc w:val="both"/>
      </w:pPr>
    </w:p>
    <w:p w14:paraId="3F6DBC56" w14:textId="77777777" w:rsidR="00632217" w:rsidRDefault="00632217" w:rsidP="00632217">
      <w:pPr>
        <w:pStyle w:val="Subtitle"/>
        <w:jc w:val="left"/>
        <w:rPr>
          <w:sz w:val="22"/>
          <w:szCs w:val="22"/>
          <w:highlight w:val="yellow"/>
        </w:rPr>
      </w:pPr>
    </w:p>
    <w:p w14:paraId="6FDF1897" w14:textId="77777777" w:rsidR="00E7129D" w:rsidRPr="00632217" w:rsidRDefault="00E7129D" w:rsidP="00632217"/>
    <w:sectPr w:rsidR="00E7129D" w:rsidRPr="00632217" w:rsidSect="003E1AB9">
      <w:footerReference w:type="first" r:id="rId22"/>
      <w:pgSz w:w="12240" w:h="15840"/>
      <w:pgMar w:top="1152" w:right="1296" w:bottom="1152"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7D1E" w14:textId="77777777" w:rsidR="00046179" w:rsidRDefault="00046179">
      <w:r>
        <w:separator/>
      </w:r>
    </w:p>
  </w:endnote>
  <w:endnote w:type="continuationSeparator" w:id="0">
    <w:p w14:paraId="65DB3F43" w14:textId="77777777" w:rsidR="00046179" w:rsidRDefault="0004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08BC" w14:textId="77777777" w:rsidR="00632217" w:rsidRDefault="00632217">
    <w:pPr>
      <w:pStyle w:val="Footer"/>
    </w:pPr>
  </w:p>
  <w:p w14:paraId="551AD70F" w14:textId="1F577E03" w:rsidR="00632217" w:rsidRDefault="00632217" w:rsidP="00EA37F9">
    <w:pPr>
      <w:pStyle w:val="Footer"/>
    </w:pPr>
    <w:r>
      <w:rPr>
        <w:sz w:val="18"/>
      </w:rPr>
      <w:fldChar w:fldCharType="begin"/>
    </w:r>
    <w:r>
      <w:rPr>
        <w:sz w:val="18"/>
      </w:rPr>
      <w:instrText xml:space="preserve"> </w:instrText>
    </w:r>
    <w:r w:rsidRPr="00EA37F9">
      <w:rPr>
        <w:sz w:val="18"/>
      </w:rPr>
      <w:instrText>IF "</w:instrText>
    </w:r>
    <w:r w:rsidRPr="00EA37F9">
      <w:rPr>
        <w:sz w:val="18"/>
      </w:rPr>
      <w:fldChar w:fldCharType="begin"/>
    </w:r>
    <w:r w:rsidRPr="00EA37F9">
      <w:rPr>
        <w:sz w:val="18"/>
      </w:rPr>
      <w:instrText xml:space="preserve"> DOCVARIABLE "SWDocIDLocation" </w:instrText>
    </w:r>
    <w:r w:rsidRPr="00EA37F9">
      <w:rPr>
        <w:sz w:val="18"/>
      </w:rPr>
      <w:fldChar w:fldCharType="separate"/>
    </w:r>
    <w:r w:rsidR="00995D7D">
      <w:rPr>
        <w:sz w:val="18"/>
      </w:rPr>
      <w:instrText>1</w:instrText>
    </w:r>
    <w:r w:rsidRPr="00EA37F9">
      <w:rPr>
        <w:sz w:val="18"/>
      </w:rPr>
      <w:fldChar w:fldCharType="end"/>
    </w:r>
    <w:r w:rsidRPr="00EA37F9">
      <w:rPr>
        <w:sz w:val="18"/>
      </w:rPr>
      <w:instrText>" = "1" "</w:instrText>
    </w:r>
    <w:r w:rsidRPr="00EA37F9">
      <w:rPr>
        <w:sz w:val="18"/>
      </w:rPr>
      <w:fldChar w:fldCharType="begin"/>
    </w:r>
    <w:r w:rsidRPr="00EA37F9">
      <w:rPr>
        <w:sz w:val="18"/>
      </w:rPr>
      <w:instrText xml:space="preserve"> DOCPROPERTY "SWDocID" </w:instrText>
    </w:r>
    <w:r w:rsidRPr="00EA37F9">
      <w:rPr>
        <w:sz w:val="18"/>
      </w:rPr>
      <w:fldChar w:fldCharType="separate"/>
    </w:r>
    <w:r w:rsidR="00995D7D">
      <w:rPr>
        <w:sz w:val="18"/>
      </w:rPr>
      <w:instrText>ACTIVEUS 198386981v.1</w:instrText>
    </w:r>
    <w:r w:rsidRPr="00EA37F9">
      <w:rPr>
        <w:sz w:val="18"/>
      </w:rPr>
      <w:fldChar w:fldCharType="end"/>
    </w:r>
    <w:r w:rsidRPr="00EA37F9">
      <w:rPr>
        <w:sz w:val="18"/>
      </w:rPr>
      <w:instrText>" ""</w:instrText>
    </w:r>
    <w:r>
      <w:rPr>
        <w:sz w:val="18"/>
      </w:rPr>
      <w:instrText xml:space="preserve"> </w:instrText>
    </w:r>
    <w:r>
      <w:rPr>
        <w:sz w:val="18"/>
      </w:rPr>
      <w:fldChar w:fldCharType="separate"/>
    </w:r>
    <w:r w:rsidR="00995D7D">
      <w:rPr>
        <w:noProof/>
        <w:sz w:val="18"/>
      </w:rPr>
      <w:t>ACTIVEUS 198386981v.1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360" w:type="dxa"/>
        <w:left w:w="115" w:type="dxa"/>
        <w:right w:w="115" w:type="dxa"/>
      </w:tblCellMar>
      <w:tblLook w:val="0000" w:firstRow="0" w:lastRow="0" w:firstColumn="0" w:lastColumn="0" w:noHBand="0" w:noVBand="0"/>
    </w:tblPr>
    <w:tblGrid>
      <w:gridCol w:w="9576"/>
    </w:tblGrid>
    <w:tr w:rsidR="00632217" w14:paraId="156018AC" w14:textId="77777777">
      <w:tc>
        <w:tcPr>
          <w:tcW w:w="9576" w:type="dxa"/>
        </w:tcPr>
        <w:p w14:paraId="157DC7A1" w14:textId="77777777" w:rsidR="00632217" w:rsidRDefault="00632217" w:rsidP="00292A5D">
          <w:pPr>
            <w:pStyle w:val="Footer"/>
            <w:jc w:val="center"/>
          </w:pPr>
        </w:p>
      </w:tc>
    </w:tr>
  </w:tbl>
  <w:p w14:paraId="53976F07" w14:textId="77777777" w:rsidR="00995666" w:rsidRDefault="00995666">
    <w:pPr>
      <w:pStyle w:val="Footer1"/>
    </w:pPr>
  </w:p>
  <w:p w14:paraId="229F4645" w14:textId="2E0F03BD" w:rsidR="00632217" w:rsidRDefault="00995666" w:rsidP="00995666">
    <w:pPr>
      <w:pStyle w:val="Footer1"/>
    </w:pPr>
    <w:r>
      <w:rPr>
        <w:sz w:val="18"/>
      </w:rPr>
      <w:fldChar w:fldCharType="begin"/>
    </w:r>
    <w:r>
      <w:rPr>
        <w:sz w:val="18"/>
      </w:rPr>
      <w:instrText xml:space="preserve"> </w:instrText>
    </w:r>
    <w:r w:rsidRPr="00995666">
      <w:rPr>
        <w:sz w:val="18"/>
      </w:rPr>
      <w:instrText>IF "</w:instrText>
    </w:r>
    <w:r w:rsidRPr="00995666">
      <w:rPr>
        <w:sz w:val="18"/>
      </w:rPr>
      <w:fldChar w:fldCharType="begin"/>
    </w:r>
    <w:r w:rsidRPr="00995666">
      <w:rPr>
        <w:sz w:val="18"/>
      </w:rPr>
      <w:instrText xml:space="preserve"> DOCVARIABLE "SWDocIDLocation" </w:instrText>
    </w:r>
    <w:r w:rsidRPr="00995666">
      <w:rPr>
        <w:sz w:val="18"/>
      </w:rPr>
      <w:fldChar w:fldCharType="separate"/>
    </w:r>
    <w:r w:rsidR="00995D7D">
      <w:rPr>
        <w:sz w:val="18"/>
      </w:rPr>
      <w:instrText>1</w:instrText>
    </w:r>
    <w:r w:rsidRPr="00995666">
      <w:rPr>
        <w:sz w:val="18"/>
      </w:rPr>
      <w:fldChar w:fldCharType="end"/>
    </w:r>
    <w:r w:rsidRPr="00995666">
      <w:rPr>
        <w:sz w:val="18"/>
      </w:rPr>
      <w:instrText>" = "1" "</w:instrText>
    </w:r>
    <w:r w:rsidRPr="00995666">
      <w:rPr>
        <w:sz w:val="18"/>
      </w:rPr>
      <w:fldChar w:fldCharType="begin"/>
    </w:r>
    <w:r w:rsidRPr="00995666">
      <w:rPr>
        <w:sz w:val="18"/>
      </w:rPr>
      <w:instrText xml:space="preserve"> DOCPROPERTY "SWDocID" </w:instrText>
    </w:r>
    <w:r w:rsidRPr="00995666">
      <w:rPr>
        <w:sz w:val="18"/>
      </w:rPr>
      <w:fldChar w:fldCharType="separate"/>
    </w:r>
    <w:r w:rsidR="00995D7D">
      <w:rPr>
        <w:sz w:val="18"/>
      </w:rPr>
      <w:instrText>ACTIVEUS 198386981v.1</w:instrText>
    </w:r>
    <w:r w:rsidRPr="00995666">
      <w:rPr>
        <w:sz w:val="18"/>
      </w:rPr>
      <w:fldChar w:fldCharType="end"/>
    </w:r>
    <w:r w:rsidRPr="00995666">
      <w:rPr>
        <w:sz w:val="18"/>
      </w:rPr>
      <w:instrText>" ""</w:instrText>
    </w:r>
    <w:r>
      <w:rPr>
        <w:sz w:val="18"/>
      </w:rPr>
      <w:instrText xml:space="preserve"> </w:instrText>
    </w:r>
    <w:r>
      <w:rPr>
        <w:sz w:val="18"/>
      </w:rPr>
      <w:fldChar w:fldCharType="separate"/>
    </w:r>
    <w:r w:rsidR="00995D7D">
      <w:rPr>
        <w:noProof/>
        <w:sz w:val="18"/>
      </w:rPr>
      <w:t>ACTIVEUS 198386981v.1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0358" w14:textId="77777777" w:rsidR="00632217" w:rsidRDefault="006322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837A" w14:textId="77777777" w:rsidR="00632217" w:rsidRDefault="00632217">
    <w:pPr>
      <w:pStyle w:val="Footer"/>
      <w:rPr>
        <w:rStyle w:val="PageNumber"/>
      </w:rPr>
    </w:pPr>
    <w:r>
      <w:tab/>
    </w:r>
    <w:r w:rsidRPr="004A5286">
      <w:rPr>
        <w:sz w:val="22"/>
      </w:rPr>
      <w:t xml:space="preserve">- </w:t>
    </w:r>
    <w:r w:rsidRPr="004A5286">
      <w:rPr>
        <w:rStyle w:val="PageNumber"/>
        <w:sz w:val="22"/>
      </w:rPr>
      <w:fldChar w:fldCharType="begin"/>
    </w:r>
    <w:r w:rsidRPr="004A5286">
      <w:rPr>
        <w:rStyle w:val="PageNumber"/>
        <w:sz w:val="22"/>
      </w:rPr>
      <w:instrText xml:space="preserve"> PAGE </w:instrText>
    </w:r>
    <w:r w:rsidRPr="004A5286">
      <w:rPr>
        <w:rStyle w:val="PageNumber"/>
        <w:sz w:val="22"/>
      </w:rPr>
      <w:fldChar w:fldCharType="separate"/>
    </w:r>
    <w:r w:rsidRPr="004A5286">
      <w:rPr>
        <w:rStyle w:val="PageNumber"/>
        <w:noProof/>
        <w:sz w:val="22"/>
      </w:rPr>
      <w:t>3</w:t>
    </w:r>
    <w:r w:rsidRPr="004A5286">
      <w:rPr>
        <w:rStyle w:val="PageNumber"/>
        <w:sz w:val="22"/>
      </w:rPr>
      <w:fldChar w:fldCharType="end"/>
    </w:r>
    <w:r w:rsidRPr="004A5286">
      <w:rPr>
        <w:rStyle w:val="PageNumber"/>
        <w:sz w:val="22"/>
      </w:rPr>
      <w:t xml:space="preserve"> </w:t>
    </w:r>
    <w:r w:rsidRPr="004A5286">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4435" w14:textId="77777777" w:rsidR="00632217" w:rsidRDefault="00632217">
    <w:pPr>
      <w:pStyle w:val="Footer"/>
    </w:pPr>
  </w:p>
  <w:p w14:paraId="33EB99D8" w14:textId="77777777" w:rsidR="00632217" w:rsidRDefault="00632217">
    <w:pPr>
      <w:pStyle w:val="Footer"/>
    </w:pPr>
  </w:p>
  <w:p w14:paraId="5FC72F4C" w14:textId="77777777" w:rsidR="004455FA" w:rsidRDefault="004455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4F9B" w14:textId="77777777" w:rsidR="00946E07" w:rsidRDefault="00946E07">
    <w:pPr>
      <w:pStyle w:val="Footer"/>
      <w:jc w:val="center"/>
      <w:rPr>
        <w:sz w:val="22"/>
        <w:szCs w:val="22"/>
      </w:rPr>
    </w:pPr>
    <w:r>
      <w:rPr>
        <w:sz w:val="22"/>
        <w:szCs w:val="22"/>
      </w:rPr>
      <w:t>Signature Page to Non-Competition and Non-Solicitation Agreement</w:t>
    </w:r>
  </w:p>
  <w:p w14:paraId="310BCFC4" w14:textId="77777777" w:rsidR="00946E07" w:rsidRDefault="00946E07">
    <w:pPr>
      <w:pStyle w:val="Footer"/>
    </w:pPr>
  </w:p>
  <w:p w14:paraId="23DCF384" w14:textId="77777777" w:rsidR="004455FA" w:rsidRDefault="0044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8ADA" w14:textId="77777777" w:rsidR="00046179" w:rsidRDefault="00046179">
      <w:r>
        <w:separator/>
      </w:r>
    </w:p>
  </w:footnote>
  <w:footnote w:type="continuationSeparator" w:id="0">
    <w:p w14:paraId="48C53348" w14:textId="77777777" w:rsidR="00046179" w:rsidRDefault="00046179">
      <w:r>
        <w:continuationSeparator/>
      </w:r>
    </w:p>
  </w:footnote>
  <w:footnote w:id="1">
    <w:p w14:paraId="10D8ACB9" w14:textId="77777777" w:rsidR="00632217" w:rsidRDefault="00632217" w:rsidP="00632217">
      <w:pPr>
        <w:pStyle w:val="FootnoteText"/>
      </w:pPr>
      <w:r w:rsidRPr="00C220A8">
        <w:rPr>
          <w:rStyle w:val="FootnoteReference"/>
          <w:highlight w:val="yellow"/>
        </w:rPr>
        <w:footnoteRef/>
      </w:r>
      <w:r w:rsidRPr="00C220A8">
        <w:rPr>
          <w:highlight w:val="yellow"/>
        </w:rPr>
        <w:t xml:space="preserve"> </w:t>
      </w:r>
      <w:r>
        <w:rPr>
          <w:highlight w:val="yellow"/>
        </w:rPr>
        <w:t xml:space="preserve">12 months </w:t>
      </w:r>
      <w:r w:rsidRPr="00C220A8">
        <w:rPr>
          <w:highlight w:val="yellow"/>
        </w:rPr>
        <w:t>is the maximum duration permitted by Massachusetts’ new non-compete law.</w:t>
      </w:r>
      <w:r>
        <w:t xml:space="preserve">  </w:t>
      </w:r>
    </w:p>
  </w:footnote>
  <w:footnote w:id="2">
    <w:p w14:paraId="6366EBAE" w14:textId="77777777" w:rsidR="00632217" w:rsidRPr="00C220A8" w:rsidRDefault="00632217" w:rsidP="00632217">
      <w:pPr>
        <w:pStyle w:val="FootnoteText"/>
        <w:rPr>
          <w:highlight w:val="yellow"/>
        </w:rPr>
      </w:pPr>
      <w:r w:rsidRPr="00C220A8">
        <w:rPr>
          <w:rStyle w:val="FootnoteReference"/>
          <w:highlight w:val="yellow"/>
        </w:rPr>
        <w:footnoteRef/>
      </w:r>
      <w:r w:rsidRPr="00C220A8">
        <w:rPr>
          <w:highlight w:val="yellow"/>
        </w:rPr>
        <w:t xml:space="preserve"> The stated applicable territory is deemed presumptively reasonable under the new law.  If the Company does not believe such breadth can adequately protect its interests, it may consider including a broader territory.</w:t>
      </w:r>
    </w:p>
  </w:footnote>
  <w:footnote w:id="3">
    <w:p w14:paraId="7E6C4E12" w14:textId="77777777" w:rsidR="00632217" w:rsidRDefault="00632217" w:rsidP="00632217">
      <w:pPr>
        <w:pStyle w:val="FootnoteText"/>
      </w:pPr>
      <w:r>
        <w:rPr>
          <w:rStyle w:val="FootnoteReference"/>
        </w:rPr>
        <w:footnoteRef/>
      </w:r>
      <w:r>
        <w:t xml:space="preserve"> </w:t>
      </w:r>
      <w:r w:rsidRPr="00796819">
        <w:rPr>
          <w:highlight w:val="yellow"/>
        </w:rPr>
        <w:t xml:space="preserve">This </w:t>
      </w:r>
      <w:r>
        <w:rPr>
          <w:highlight w:val="yellow"/>
        </w:rPr>
        <w:t xml:space="preserve">“Cause” definition </w:t>
      </w:r>
      <w:r w:rsidRPr="00796819">
        <w:rPr>
          <w:highlight w:val="yellow"/>
        </w:rPr>
        <w:t xml:space="preserve">is purposely drafted </w:t>
      </w:r>
      <w:r>
        <w:rPr>
          <w:highlight w:val="yellow"/>
        </w:rPr>
        <w:t>very</w:t>
      </w:r>
      <w:r w:rsidRPr="00796819">
        <w:rPr>
          <w:highlight w:val="yellow"/>
        </w:rPr>
        <w:t xml:space="preserve"> broadly because a more restrictive definition would </w:t>
      </w:r>
      <w:r>
        <w:rPr>
          <w:highlight w:val="yellow"/>
        </w:rPr>
        <w:t>render a company unable to impose</w:t>
      </w:r>
      <w:r w:rsidRPr="00796819">
        <w:rPr>
          <w:highlight w:val="yellow"/>
        </w:rPr>
        <w:t xml:space="preserve"> the noncompete in too many situations.  This</w:t>
      </w:r>
      <w:r>
        <w:rPr>
          <w:highlight w:val="yellow"/>
        </w:rPr>
        <w:t xml:space="preserve"> broad definition</w:t>
      </w:r>
      <w:r w:rsidRPr="00796819">
        <w:rPr>
          <w:highlight w:val="yellow"/>
        </w:rPr>
        <w:t xml:space="preserve"> does not prevent a company from using a different, more restrictive definition in other agreements</w:t>
      </w:r>
      <w:r>
        <w:rPr>
          <w:highlight w:val="yellow"/>
        </w:rPr>
        <w:t xml:space="preserve"> (including offer letters and employment agreements)</w:t>
      </w:r>
      <w:r w:rsidRPr="00796819">
        <w:rPr>
          <w:highlight w:val="yellow"/>
        </w:rPr>
        <w:t>.</w:t>
      </w:r>
    </w:p>
  </w:footnote>
  <w:footnote w:id="4">
    <w:p w14:paraId="1BFBFCE8" w14:textId="77777777" w:rsidR="00632217" w:rsidRDefault="00632217" w:rsidP="00632217">
      <w:pPr>
        <w:pStyle w:val="FootnoteText"/>
      </w:pPr>
      <w:r w:rsidRPr="00C220A8">
        <w:rPr>
          <w:rStyle w:val="FootnoteReference"/>
          <w:highlight w:val="yellow"/>
        </w:rPr>
        <w:footnoteRef/>
      </w:r>
      <w:r w:rsidRPr="00C220A8">
        <w:rPr>
          <w:highlight w:val="yellow"/>
        </w:rPr>
        <w:t xml:space="preserve"> The Massachusetts law requires that an employer provide </w:t>
      </w:r>
      <w:r w:rsidRPr="00C220A8">
        <w:rPr>
          <w:i/>
          <w:highlight w:val="yellow"/>
        </w:rPr>
        <w:t>either</w:t>
      </w:r>
      <w:r w:rsidRPr="00C220A8">
        <w:rPr>
          <w:highlight w:val="yellow"/>
        </w:rPr>
        <w:t xml:space="preserve"> “garden leave” (the requirements for which are incorporated into the </w:t>
      </w:r>
      <w:r>
        <w:rPr>
          <w:highlight w:val="yellow"/>
        </w:rPr>
        <w:t xml:space="preserve">first </w:t>
      </w:r>
      <w:r w:rsidRPr="00C220A8">
        <w:rPr>
          <w:highlight w:val="yellow"/>
        </w:rPr>
        <w:t>bracketed, highlighted text</w:t>
      </w:r>
      <w:r>
        <w:rPr>
          <w:highlight w:val="yellow"/>
        </w:rPr>
        <w:t xml:space="preserve"> option</w:t>
      </w:r>
      <w:r w:rsidRPr="00C220A8">
        <w:rPr>
          <w:highlight w:val="yellow"/>
        </w:rPr>
        <w:t xml:space="preserve">) or “other mutually agreed upon consideration.”  The law does not define or otherwise provide guidance on what constitutes other mutually agreed upon consideration, but we recommend that any such consideration be </w:t>
      </w:r>
      <w:r>
        <w:rPr>
          <w:highlight w:val="yellow"/>
        </w:rPr>
        <w:t>fair and reasonable</w:t>
      </w:r>
      <w:r w:rsidRPr="00C220A8">
        <w:rPr>
          <w:highlight w:val="yellow"/>
        </w:rPr>
        <w:t>.</w:t>
      </w:r>
      <w:r>
        <w:t xml:space="preserve">  </w:t>
      </w:r>
    </w:p>
  </w:footnote>
  <w:footnote w:id="5">
    <w:p w14:paraId="2D220735" w14:textId="77777777" w:rsidR="00632217" w:rsidRDefault="00632217" w:rsidP="00632217">
      <w:pPr>
        <w:pStyle w:val="FootnoteText"/>
      </w:pPr>
      <w:r w:rsidRPr="00F74F6A">
        <w:rPr>
          <w:rStyle w:val="FootnoteReference"/>
          <w:highlight w:val="red"/>
        </w:rPr>
        <w:footnoteRef/>
      </w:r>
      <w:r w:rsidRPr="00F74F6A">
        <w:rPr>
          <w:highlight w:val="red"/>
        </w:rPr>
        <w:t xml:space="preserve"> Caution: Agreeing to provide garden leave pay during the post-employment non-compete period will subject the Company to a </w:t>
      </w:r>
      <w:r w:rsidRPr="00F74F6A">
        <w:rPr>
          <w:b/>
          <w:highlight w:val="red"/>
          <w:u w:val="single"/>
        </w:rPr>
        <w:t>legal claim</w:t>
      </w:r>
      <w:r w:rsidRPr="00F74F6A">
        <w:rPr>
          <w:highlight w:val="red"/>
        </w:rPr>
        <w:t xml:space="preserve"> if it discontinues or fails to make the </w:t>
      </w:r>
      <w:r>
        <w:rPr>
          <w:highlight w:val="red"/>
        </w:rPr>
        <w:t xml:space="preserve">promised </w:t>
      </w:r>
      <w:r w:rsidRPr="00F74F6A">
        <w:rPr>
          <w:highlight w:val="red"/>
        </w:rPr>
        <w:t>payments</w:t>
      </w:r>
      <w:r>
        <w:rPr>
          <w:highlight w:val="red"/>
        </w:rPr>
        <w:t xml:space="preserve"> (except where the Company </w:t>
      </w:r>
      <w:r w:rsidRPr="00F74F6A">
        <w:rPr>
          <w:b/>
          <w:highlight w:val="red"/>
          <w:u w:val="single"/>
        </w:rPr>
        <w:t>immediately upon termination</w:t>
      </w:r>
      <w:r>
        <w:rPr>
          <w:highlight w:val="red"/>
        </w:rPr>
        <w:t xml:space="preserve"> notifies the Employee that it is waiving the post-employment non-competition obligation in accordance with </w:t>
      </w:r>
      <w:r w:rsidRPr="00F74F6A">
        <w:rPr>
          <w:highlight w:val="red"/>
        </w:rPr>
        <w:t>Section 1(b)(i))</w:t>
      </w:r>
      <w:r>
        <w:rPr>
          <w:highlight w:val="red"/>
        </w:rPr>
        <w:t xml:space="preserve">.  </w:t>
      </w:r>
    </w:p>
  </w:footnote>
  <w:footnote w:id="6">
    <w:p w14:paraId="0D7B3534" w14:textId="77777777" w:rsidR="003A6739" w:rsidRDefault="003A6739" w:rsidP="003A6739">
      <w:pPr>
        <w:pStyle w:val="FootnoteText"/>
      </w:pPr>
      <w:r w:rsidRPr="00F74F6A">
        <w:rPr>
          <w:rStyle w:val="FootnoteReference"/>
          <w:highlight w:val="red"/>
        </w:rPr>
        <w:footnoteRef/>
      </w:r>
      <w:r w:rsidRPr="00F74F6A">
        <w:rPr>
          <w:highlight w:val="red"/>
        </w:rPr>
        <w:t xml:space="preserve"> Caution: Agreeing to provide pay during the post-employment non-compete period will subject the Company to a </w:t>
      </w:r>
      <w:r w:rsidRPr="00F74F6A">
        <w:rPr>
          <w:b/>
          <w:highlight w:val="red"/>
          <w:u w:val="single"/>
        </w:rPr>
        <w:t>legal claim</w:t>
      </w:r>
      <w:r w:rsidRPr="00F74F6A">
        <w:rPr>
          <w:highlight w:val="red"/>
        </w:rPr>
        <w:t xml:space="preserve"> if it discontinues or fails to make the </w:t>
      </w:r>
      <w:r>
        <w:rPr>
          <w:highlight w:val="red"/>
        </w:rPr>
        <w:t xml:space="preserve">promised </w:t>
      </w:r>
      <w:r w:rsidRPr="00F74F6A">
        <w:rPr>
          <w:highlight w:val="red"/>
        </w:rPr>
        <w:t>payments</w:t>
      </w:r>
      <w:r>
        <w:rPr>
          <w:highlight w:val="red"/>
        </w:rPr>
        <w:t xml:space="preserve"> (except where the Company </w:t>
      </w:r>
      <w:r w:rsidRPr="00F74F6A">
        <w:rPr>
          <w:b/>
          <w:highlight w:val="red"/>
          <w:u w:val="single"/>
        </w:rPr>
        <w:t>immediately upon termination</w:t>
      </w:r>
      <w:r>
        <w:rPr>
          <w:highlight w:val="red"/>
        </w:rPr>
        <w:t xml:space="preserve"> notifies the Employee that it is waiving the post-employment non-competition obligation in accordance with </w:t>
      </w:r>
      <w:r w:rsidRPr="00F74F6A">
        <w:rPr>
          <w:highlight w:val="red"/>
        </w:rPr>
        <w:t>Section 1(b)(i))</w:t>
      </w:r>
      <w:r>
        <w:rPr>
          <w:highlight w:val="re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B7A" w14:textId="77777777" w:rsidR="00632217" w:rsidRDefault="00632217">
    <w:pPr>
      <w:pStyle w:val="Header"/>
    </w:pPr>
  </w:p>
  <w:p w14:paraId="1384862D" w14:textId="77777777" w:rsidR="00632217" w:rsidRDefault="00632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F708" w14:textId="10E32725" w:rsidR="00632217" w:rsidRDefault="009B4717">
    <w:pPr>
      <w:pStyle w:val="Header"/>
      <w:rPr>
        <w:sz w:val="16"/>
      </w:rPr>
    </w:pPr>
    <w:r>
      <w:rPr>
        <w:noProof/>
        <w:sz w:val="20"/>
      </w:rPr>
      <w:drawing>
        <wp:anchor distT="0" distB="0" distL="114300" distR="114300" simplePos="0" relativeHeight="251658240" behindDoc="0" locked="0" layoutInCell="1" allowOverlap="1" wp14:anchorId="6A12EE27" wp14:editId="3843821B">
          <wp:simplePos x="0" y="0"/>
          <wp:positionH relativeFrom="margin">
            <wp:posOffset>5081905</wp:posOffset>
          </wp:positionH>
          <wp:positionV relativeFrom="page">
            <wp:posOffset>375920</wp:posOffset>
          </wp:positionV>
          <wp:extent cx="1171575" cy="152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524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0" distR="0" simplePos="0" relativeHeight="251657216" behindDoc="0" locked="1" layoutInCell="1" allowOverlap="1" wp14:anchorId="7347496C" wp14:editId="7FAC5566">
              <wp:simplePos x="0" y="0"/>
              <wp:positionH relativeFrom="page">
                <wp:posOffset>0</wp:posOffset>
              </wp:positionH>
              <wp:positionV relativeFrom="page">
                <wp:posOffset>-77470</wp:posOffset>
              </wp:positionV>
              <wp:extent cx="7772400" cy="21272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6CDB" w14:textId="77777777" w:rsidR="00632217" w:rsidRDefault="006322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7496C" id="_x0000_t202" coordsize="21600,21600" o:spt="202" path="m,l,21600r21600,l21600,xe">
              <v:stroke joinstyle="miter"/>
              <v:path gradientshapeok="t" o:connecttype="rect"/>
            </v:shapetype>
            <v:shape id="Text Box 5" o:spid="_x0000_s1027" type="#_x0000_t202" style="position:absolute;margin-left:0;margin-top:-6.1pt;width:612pt;height:16.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" filled="f" stroked="f">
              <v:textbox>
                <w:txbxContent>
                  <w:p w14:paraId="7CB46CDB" w14:textId="77777777" w:rsidR="00632217" w:rsidRDefault="00632217"/>
                </w:txbxContent>
              </v:textbox>
              <w10:wrap type="square"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C5C" w14:textId="77777777" w:rsidR="00632217" w:rsidRDefault="006322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B164" w14:textId="77777777" w:rsidR="00632217" w:rsidRDefault="00632217">
    <w:pPr>
      <w:pStyle w:val="Header"/>
      <w:jc w:val="right"/>
    </w:pPr>
  </w:p>
  <w:p w14:paraId="2DBC3321" w14:textId="77777777" w:rsidR="00632217" w:rsidRDefault="006322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EFA7" w14:textId="77777777" w:rsidR="00632217" w:rsidRDefault="00632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60E2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5846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DAEF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D2A9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5EFC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6AEC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087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4018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48D2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520768"/>
    <w:lvl w:ilvl="0">
      <w:start w:val="1"/>
      <w:numFmt w:val="bullet"/>
      <w:pStyle w:val="ListBullet"/>
      <w:lvlText w:val=""/>
      <w:lvlJc w:val="left"/>
      <w:pPr>
        <w:tabs>
          <w:tab w:val="num" w:pos="475"/>
        </w:tabs>
        <w:ind w:left="475" w:hanging="475"/>
      </w:pPr>
      <w:rPr>
        <w:rFonts w:ascii="Symbol" w:hAnsi="Symbol" w:hint="default"/>
      </w:rPr>
    </w:lvl>
  </w:abstractNum>
  <w:abstractNum w:abstractNumId="10" w15:restartNumberingAfterBreak="0">
    <w:nsid w:val="01695AB5"/>
    <w:multiLevelType w:val="hybridMultilevel"/>
    <w:tmpl w:val="3AAEA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45531B"/>
    <w:multiLevelType w:val="hybridMultilevel"/>
    <w:tmpl w:val="A5B82338"/>
    <w:lvl w:ilvl="0" w:tplc="8586F69A">
      <w:start w:val="1"/>
      <w:numFmt w:val="upperLetter"/>
      <w:pStyle w:val="UKRecital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F57ED1"/>
    <w:multiLevelType w:val="hybridMultilevel"/>
    <w:tmpl w:val="CFFC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05FE0"/>
    <w:multiLevelType w:val="hybridMultilevel"/>
    <w:tmpl w:val="D958A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45ECB"/>
    <w:multiLevelType w:val="hybridMultilevel"/>
    <w:tmpl w:val="536CDE82"/>
    <w:lvl w:ilvl="0" w:tplc="B46C07A8">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704B1"/>
    <w:multiLevelType w:val="hybridMultilevel"/>
    <w:tmpl w:val="B0042884"/>
    <w:lvl w:ilvl="0" w:tplc="BCF469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79487F"/>
    <w:multiLevelType w:val="multilevel"/>
    <w:tmpl w:val="023C1A96"/>
    <w:lvl w:ilvl="0">
      <w:start w:val="1"/>
      <w:numFmt w:val="decimal"/>
      <w:lvlText w:val="%1."/>
      <w:lvlJc w:val="left"/>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1800"/>
        </w:tabs>
        <w:ind w:left="1440" w:hanging="1440"/>
      </w:pPr>
    </w:lvl>
    <w:lvl w:ilvl="3">
      <w:start w:val="1"/>
      <w:numFmt w:val="none"/>
      <w:suff w:val="nothing"/>
      <w:lvlText w:val=""/>
      <w:lvlJc w:val="left"/>
      <w:pPr>
        <w:tabs>
          <w:tab w:val="num" w:pos="2520"/>
        </w:tabs>
        <w:ind w:left="2160" w:hanging="2160"/>
      </w:pPr>
    </w:lvl>
    <w:lvl w:ilvl="4">
      <w:start w:val="1"/>
      <w:numFmt w:val="none"/>
      <w:suff w:val="nothing"/>
      <w:lvlText w:val=""/>
      <w:lvlJc w:val="left"/>
      <w:pPr>
        <w:tabs>
          <w:tab w:val="num" w:pos="3240"/>
        </w:tabs>
        <w:ind w:left="2880" w:hanging="2880"/>
      </w:pPr>
    </w:lvl>
    <w:lvl w:ilvl="5">
      <w:start w:val="1"/>
      <w:numFmt w:val="none"/>
      <w:suff w:val="nothing"/>
      <w:lvlText w:val=""/>
      <w:lvlJc w:val="left"/>
      <w:pPr>
        <w:tabs>
          <w:tab w:val="num" w:pos="3960"/>
        </w:tabs>
        <w:ind w:left="3600" w:hanging="3600"/>
      </w:pPr>
    </w:lvl>
    <w:lvl w:ilvl="6">
      <w:start w:val="1"/>
      <w:numFmt w:val="none"/>
      <w:suff w:val="nothing"/>
      <w:lvlText w:val=""/>
      <w:lvlJc w:val="left"/>
      <w:pPr>
        <w:tabs>
          <w:tab w:val="num" w:pos="4680"/>
        </w:tabs>
        <w:ind w:left="4320" w:hanging="4320"/>
      </w:pPr>
    </w:lvl>
    <w:lvl w:ilvl="7">
      <w:start w:val="1"/>
      <w:numFmt w:val="none"/>
      <w:suff w:val="nothing"/>
      <w:lvlText w:val=""/>
      <w:lvlJc w:val="left"/>
      <w:pPr>
        <w:tabs>
          <w:tab w:val="num" w:pos="5400"/>
        </w:tabs>
        <w:ind w:left="5040" w:hanging="5040"/>
      </w:pPr>
    </w:lvl>
    <w:lvl w:ilvl="8">
      <w:start w:val="1"/>
      <w:numFmt w:val="none"/>
      <w:suff w:val="nothing"/>
      <w:lvlText w:val=""/>
      <w:lvlJc w:val="left"/>
      <w:pPr>
        <w:tabs>
          <w:tab w:val="num" w:pos="6120"/>
        </w:tabs>
        <w:ind w:left="5760" w:hanging="5760"/>
      </w:pPr>
    </w:lvl>
  </w:abstractNum>
  <w:abstractNum w:abstractNumId="17" w15:restartNumberingAfterBreak="0">
    <w:nsid w:val="694C52D2"/>
    <w:multiLevelType w:val="hybridMultilevel"/>
    <w:tmpl w:val="4920D400"/>
    <w:lvl w:ilvl="0" w:tplc="F03CE73C">
      <w:start w:val="1"/>
      <w:numFmt w:val="decimal"/>
      <w:pStyle w:val="UKParties"/>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E351B8"/>
    <w:multiLevelType w:val="singleLevel"/>
    <w:tmpl w:val="FED86B98"/>
    <w:lvl w:ilvl="0">
      <w:start w:val="1"/>
      <w:numFmt w:val="none"/>
      <w:pStyle w:val="FirmRe"/>
      <w:lvlText w:val="Re:"/>
      <w:lvlJc w:val="left"/>
      <w:pPr>
        <w:tabs>
          <w:tab w:val="num" w:pos="389"/>
        </w:tabs>
        <w:ind w:left="389" w:hanging="389"/>
      </w:pPr>
      <w:rPr>
        <w:rFonts w:hint="default"/>
        <w:b w:val="0"/>
        <w:i w:val="0"/>
        <w:u w:val="none"/>
      </w:rPr>
    </w:lvl>
  </w:abstractNum>
  <w:num w:numId="1" w16cid:durableId="1574119204">
    <w:abstractNumId w:val="7"/>
  </w:num>
  <w:num w:numId="2" w16cid:durableId="1467042270">
    <w:abstractNumId w:val="7"/>
  </w:num>
  <w:num w:numId="3" w16cid:durableId="2072344386">
    <w:abstractNumId w:val="6"/>
  </w:num>
  <w:num w:numId="4" w16cid:durableId="1817607558">
    <w:abstractNumId w:val="6"/>
  </w:num>
  <w:num w:numId="5" w16cid:durableId="843277416">
    <w:abstractNumId w:val="5"/>
  </w:num>
  <w:num w:numId="6" w16cid:durableId="1191915101">
    <w:abstractNumId w:val="5"/>
  </w:num>
  <w:num w:numId="7" w16cid:durableId="853223487">
    <w:abstractNumId w:val="4"/>
  </w:num>
  <w:num w:numId="8" w16cid:durableId="183977420">
    <w:abstractNumId w:val="4"/>
  </w:num>
  <w:num w:numId="9" w16cid:durableId="155079091">
    <w:abstractNumId w:val="9"/>
  </w:num>
  <w:num w:numId="10" w16cid:durableId="1115439978">
    <w:abstractNumId w:val="9"/>
  </w:num>
  <w:num w:numId="11" w16cid:durableId="844590664">
    <w:abstractNumId w:val="3"/>
  </w:num>
  <w:num w:numId="12" w16cid:durableId="1051924837">
    <w:abstractNumId w:val="3"/>
  </w:num>
  <w:num w:numId="13" w16cid:durableId="1146825653">
    <w:abstractNumId w:val="2"/>
  </w:num>
  <w:num w:numId="14" w16cid:durableId="1815096157">
    <w:abstractNumId w:val="2"/>
  </w:num>
  <w:num w:numId="15" w16cid:durableId="792136720">
    <w:abstractNumId w:val="1"/>
  </w:num>
  <w:num w:numId="16" w16cid:durableId="1433628667">
    <w:abstractNumId w:val="1"/>
  </w:num>
  <w:num w:numId="17" w16cid:durableId="237446071">
    <w:abstractNumId w:val="0"/>
  </w:num>
  <w:num w:numId="18" w16cid:durableId="89082728">
    <w:abstractNumId w:val="0"/>
  </w:num>
  <w:num w:numId="19" w16cid:durableId="1056586117">
    <w:abstractNumId w:val="8"/>
  </w:num>
  <w:num w:numId="20" w16cid:durableId="308749567">
    <w:abstractNumId w:val="8"/>
  </w:num>
  <w:num w:numId="21" w16cid:durableId="308366319">
    <w:abstractNumId w:val="17"/>
  </w:num>
  <w:num w:numId="22" w16cid:durableId="2001352388">
    <w:abstractNumId w:val="11"/>
  </w:num>
  <w:num w:numId="23" w16cid:durableId="667749708">
    <w:abstractNumId w:val="18"/>
  </w:num>
  <w:num w:numId="24" w16cid:durableId="977493664">
    <w:abstractNumId w:val="15"/>
  </w:num>
  <w:num w:numId="25" w16cid:durableId="993532319">
    <w:abstractNumId w:val="13"/>
  </w:num>
  <w:num w:numId="26" w16cid:durableId="1500465921">
    <w:abstractNumId w:val="10"/>
  </w:num>
  <w:num w:numId="27" w16cid:durableId="1518687897">
    <w:abstractNumId w:val="12"/>
  </w:num>
  <w:num w:numId="28" w16cid:durableId="1546602136">
    <w:abstractNumId w:val="16"/>
  </w:num>
  <w:num w:numId="29" w16cid:durableId="16734834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Date" w:val="0"/>
    <w:docVar w:name="SWDocIDLayout" w:val="1"/>
    <w:docVar w:name="SWDocIDLocation" w:val="1"/>
    <w:docVar w:name="SWGender" w:val=" "/>
    <w:docVar w:name="SWInitialSave" w:val="-1"/>
    <w:docVar w:name="SWPrefix" w:val=" "/>
  </w:docVars>
  <w:rsids>
    <w:rsidRoot w:val="00350076"/>
    <w:rsid w:val="000001CD"/>
    <w:rsid w:val="00002099"/>
    <w:rsid w:val="00025D59"/>
    <w:rsid w:val="0002610D"/>
    <w:rsid w:val="00032474"/>
    <w:rsid w:val="00043B7D"/>
    <w:rsid w:val="00046179"/>
    <w:rsid w:val="00054D04"/>
    <w:rsid w:val="0006170B"/>
    <w:rsid w:val="00097D7C"/>
    <w:rsid w:val="000F181F"/>
    <w:rsid w:val="000F309F"/>
    <w:rsid w:val="0010650E"/>
    <w:rsid w:val="00133B76"/>
    <w:rsid w:val="00146D25"/>
    <w:rsid w:val="00157244"/>
    <w:rsid w:val="001907F2"/>
    <w:rsid w:val="001971E7"/>
    <w:rsid w:val="001A6794"/>
    <w:rsid w:val="001B16BD"/>
    <w:rsid w:val="001B3D46"/>
    <w:rsid w:val="001F1550"/>
    <w:rsid w:val="0020792A"/>
    <w:rsid w:val="00226B0A"/>
    <w:rsid w:val="00236C77"/>
    <w:rsid w:val="0025055A"/>
    <w:rsid w:val="0027734F"/>
    <w:rsid w:val="00285077"/>
    <w:rsid w:val="00285A14"/>
    <w:rsid w:val="00292A5D"/>
    <w:rsid w:val="00295DFD"/>
    <w:rsid w:val="00297505"/>
    <w:rsid w:val="002A56AC"/>
    <w:rsid w:val="002C7F2F"/>
    <w:rsid w:val="002D447F"/>
    <w:rsid w:val="002E6C42"/>
    <w:rsid w:val="002F1A2B"/>
    <w:rsid w:val="00300904"/>
    <w:rsid w:val="00303290"/>
    <w:rsid w:val="00303B85"/>
    <w:rsid w:val="00313F60"/>
    <w:rsid w:val="00314709"/>
    <w:rsid w:val="00321E86"/>
    <w:rsid w:val="003240FE"/>
    <w:rsid w:val="00326BD8"/>
    <w:rsid w:val="0034376A"/>
    <w:rsid w:val="003452E1"/>
    <w:rsid w:val="00350076"/>
    <w:rsid w:val="00353B8C"/>
    <w:rsid w:val="003550B2"/>
    <w:rsid w:val="00355FC7"/>
    <w:rsid w:val="003723E2"/>
    <w:rsid w:val="00375DC7"/>
    <w:rsid w:val="00381E04"/>
    <w:rsid w:val="003A6210"/>
    <w:rsid w:val="003A6739"/>
    <w:rsid w:val="003C381E"/>
    <w:rsid w:val="003D1CC9"/>
    <w:rsid w:val="003E1AB9"/>
    <w:rsid w:val="003E31FB"/>
    <w:rsid w:val="003F5B7F"/>
    <w:rsid w:val="0040290E"/>
    <w:rsid w:val="00420CC8"/>
    <w:rsid w:val="004236B8"/>
    <w:rsid w:val="00427D63"/>
    <w:rsid w:val="00427E46"/>
    <w:rsid w:val="00442B7E"/>
    <w:rsid w:val="004440B2"/>
    <w:rsid w:val="004455FA"/>
    <w:rsid w:val="00447F5C"/>
    <w:rsid w:val="00465579"/>
    <w:rsid w:val="00466778"/>
    <w:rsid w:val="00471693"/>
    <w:rsid w:val="00487561"/>
    <w:rsid w:val="00492A9E"/>
    <w:rsid w:val="004A5286"/>
    <w:rsid w:val="004C3E62"/>
    <w:rsid w:val="004D16A4"/>
    <w:rsid w:val="004D1E7E"/>
    <w:rsid w:val="004D4C70"/>
    <w:rsid w:val="004E4AB1"/>
    <w:rsid w:val="005110C2"/>
    <w:rsid w:val="0051311E"/>
    <w:rsid w:val="00515048"/>
    <w:rsid w:val="00516F40"/>
    <w:rsid w:val="00520537"/>
    <w:rsid w:val="00521FA0"/>
    <w:rsid w:val="00534985"/>
    <w:rsid w:val="00545B2C"/>
    <w:rsid w:val="0055018D"/>
    <w:rsid w:val="00551873"/>
    <w:rsid w:val="005560FE"/>
    <w:rsid w:val="0056406F"/>
    <w:rsid w:val="00567C02"/>
    <w:rsid w:val="00584A58"/>
    <w:rsid w:val="00584F99"/>
    <w:rsid w:val="005A54D8"/>
    <w:rsid w:val="005A68B9"/>
    <w:rsid w:val="005B115E"/>
    <w:rsid w:val="005B37EC"/>
    <w:rsid w:val="005B65B0"/>
    <w:rsid w:val="005D2688"/>
    <w:rsid w:val="005D5069"/>
    <w:rsid w:val="005E0CE2"/>
    <w:rsid w:val="005F3504"/>
    <w:rsid w:val="005F3576"/>
    <w:rsid w:val="00603643"/>
    <w:rsid w:val="00623DC5"/>
    <w:rsid w:val="00626861"/>
    <w:rsid w:val="0063062C"/>
    <w:rsid w:val="00632217"/>
    <w:rsid w:val="00635F99"/>
    <w:rsid w:val="006424E7"/>
    <w:rsid w:val="006503F2"/>
    <w:rsid w:val="00653037"/>
    <w:rsid w:val="00655D1B"/>
    <w:rsid w:val="006613DD"/>
    <w:rsid w:val="00671F3B"/>
    <w:rsid w:val="00676270"/>
    <w:rsid w:val="006A51AB"/>
    <w:rsid w:val="006A7512"/>
    <w:rsid w:val="006B1853"/>
    <w:rsid w:val="006C6EA3"/>
    <w:rsid w:val="006F0147"/>
    <w:rsid w:val="006F1C5E"/>
    <w:rsid w:val="006F2C92"/>
    <w:rsid w:val="006F522C"/>
    <w:rsid w:val="00700A08"/>
    <w:rsid w:val="00707EDC"/>
    <w:rsid w:val="00735867"/>
    <w:rsid w:val="00743B46"/>
    <w:rsid w:val="00757BF9"/>
    <w:rsid w:val="00774D75"/>
    <w:rsid w:val="00782769"/>
    <w:rsid w:val="00792FB3"/>
    <w:rsid w:val="007A6121"/>
    <w:rsid w:val="007B0780"/>
    <w:rsid w:val="007B1242"/>
    <w:rsid w:val="007B470D"/>
    <w:rsid w:val="007C27F3"/>
    <w:rsid w:val="007C77A2"/>
    <w:rsid w:val="007D08F1"/>
    <w:rsid w:val="007E1BA6"/>
    <w:rsid w:val="007E255D"/>
    <w:rsid w:val="008124C6"/>
    <w:rsid w:val="0081417B"/>
    <w:rsid w:val="008209E5"/>
    <w:rsid w:val="00835A7C"/>
    <w:rsid w:val="008508D5"/>
    <w:rsid w:val="008558FB"/>
    <w:rsid w:val="0086244C"/>
    <w:rsid w:val="00866F79"/>
    <w:rsid w:val="00872DE4"/>
    <w:rsid w:val="008741C2"/>
    <w:rsid w:val="00875E42"/>
    <w:rsid w:val="008765F1"/>
    <w:rsid w:val="00893C4F"/>
    <w:rsid w:val="00895D98"/>
    <w:rsid w:val="00896FFC"/>
    <w:rsid w:val="008C7F9B"/>
    <w:rsid w:val="008E082B"/>
    <w:rsid w:val="00900603"/>
    <w:rsid w:val="009034AB"/>
    <w:rsid w:val="00910582"/>
    <w:rsid w:val="00935FD2"/>
    <w:rsid w:val="00940F37"/>
    <w:rsid w:val="00942164"/>
    <w:rsid w:val="00946E07"/>
    <w:rsid w:val="00957D51"/>
    <w:rsid w:val="0096195E"/>
    <w:rsid w:val="00962CE8"/>
    <w:rsid w:val="00965CE3"/>
    <w:rsid w:val="00967075"/>
    <w:rsid w:val="00995666"/>
    <w:rsid w:val="00995D7D"/>
    <w:rsid w:val="009B27EA"/>
    <w:rsid w:val="009B41C8"/>
    <w:rsid w:val="009B4717"/>
    <w:rsid w:val="009B50EE"/>
    <w:rsid w:val="009B5227"/>
    <w:rsid w:val="009D2175"/>
    <w:rsid w:val="009D45D3"/>
    <w:rsid w:val="009E49A8"/>
    <w:rsid w:val="009F1E7B"/>
    <w:rsid w:val="009F3833"/>
    <w:rsid w:val="009F636A"/>
    <w:rsid w:val="009F6CC8"/>
    <w:rsid w:val="00A07B30"/>
    <w:rsid w:val="00A31633"/>
    <w:rsid w:val="00A42E31"/>
    <w:rsid w:val="00A47001"/>
    <w:rsid w:val="00A60A24"/>
    <w:rsid w:val="00A60AD8"/>
    <w:rsid w:val="00A719FF"/>
    <w:rsid w:val="00A73EB6"/>
    <w:rsid w:val="00A814FC"/>
    <w:rsid w:val="00A93013"/>
    <w:rsid w:val="00A93DDE"/>
    <w:rsid w:val="00AA4297"/>
    <w:rsid w:val="00AB2BB5"/>
    <w:rsid w:val="00AB6F01"/>
    <w:rsid w:val="00AC5EED"/>
    <w:rsid w:val="00AD7E71"/>
    <w:rsid w:val="00AE673C"/>
    <w:rsid w:val="00AF28B4"/>
    <w:rsid w:val="00B0729C"/>
    <w:rsid w:val="00B14CD4"/>
    <w:rsid w:val="00B2200B"/>
    <w:rsid w:val="00B35875"/>
    <w:rsid w:val="00B36C26"/>
    <w:rsid w:val="00B576DF"/>
    <w:rsid w:val="00B63D3A"/>
    <w:rsid w:val="00B80429"/>
    <w:rsid w:val="00B813C8"/>
    <w:rsid w:val="00B87164"/>
    <w:rsid w:val="00BA6ED9"/>
    <w:rsid w:val="00BB1D65"/>
    <w:rsid w:val="00BB2815"/>
    <w:rsid w:val="00BC4596"/>
    <w:rsid w:val="00BC69D5"/>
    <w:rsid w:val="00BE2944"/>
    <w:rsid w:val="00C12181"/>
    <w:rsid w:val="00C159EF"/>
    <w:rsid w:val="00C17081"/>
    <w:rsid w:val="00C33B9D"/>
    <w:rsid w:val="00C46449"/>
    <w:rsid w:val="00C51162"/>
    <w:rsid w:val="00C54240"/>
    <w:rsid w:val="00C610A7"/>
    <w:rsid w:val="00C75310"/>
    <w:rsid w:val="00C77D3A"/>
    <w:rsid w:val="00CA1A43"/>
    <w:rsid w:val="00CA5BCB"/>
    <w:rsid w:val="00CA6CBF"/>
    <w:rsid w:val="00CD73E4"/>
    <w:rsid w:val="00CF6908"/>
    <w:rsid w:val="00D01AF3"/>
    <w:rsid w:val="00D053A0"/>
    <w:rsid w:val="00D1569D"/>
    <w:rsid w:val="00D36D0C"/>
    <w:rsid w:val="00D4746A"/>
    <w:rsid w:val="00D56DF4"/>
    <w:rsid w:val="00D62F78"/>
    <w:rsid w:val="00D71A10"/>
    <w:rsid w:val="00D72C48"/>
    <w:rsid w:val="00D75FCB"/>
    <w:rsid w:val="00D974F5"/>
    <w:rsid w:val="00DB5747"/>
    <w:rsid w:val="00DC1B31"/>
    <w:rsid w:val="00DC2849"/>
    <w:rsid w:val="00DC7525"/>
    <w:rsid w:val="00DD0EF5"/>
    <w:rsid w:val="00DE073C"/>
    <w:rsid w:val="00DF11F6"/>
    <w:rsid w:val="00DF3656"/>
    <w:rsid w:val="00E3212B"/>
    <w:rsid w:val="00E56D78"/>
    <w:rsid w:val="00E574DB"/>
    <w:rsid w:val="00E61D79"/>
    <w:rsid w:val="00E61FA8"/>
    <w:rsid w:val="00E7129D"/>
    <w:rsid w:val="00E74922"/>
    <w:rsid w:val="00E758E6"/>
    <w:rsid w:val="00E912DB"/>
    <w:rsid w:val="00EA37F9"/>
    <w:rsid w:val="00EB29B5"/>
    <w:rsid w:val="00EC1CD0"/>
    <w:rsid w:val="00EC4A96"/>
    <w:rsid w:val="00ED3363"/>
    <w:rsid w:val="00EE0C0F"/>
    <w:rsid w:val="00EE1281"/>
    <w:rsid w:val="00F10DE3"/>
    <w:rsid w:val="00F2289E"/>
    <w:rsid w:val="00F23D49"/>
    <w:rsid w:val="00F375BF"/>
    <w:rsid w:val="00F41182"/>
    <w:rsid w:val="00F51EEB"/>
    <w:rsid w:val="00F82D6F"/>
    <w:rsid w:val="00F842BE"/>
    <w:rsid w:val="00F847CF"/>
    <w:rsid w:val="00FA4790"/>
    <w:rsid w:val="00FB7C7C"/>
    <w:rsid w:val="00FC6173"/>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7526C48"/>
  <w15:chartTrackingRefBased/>
  <w15:docId w15:val="{19911C92-2588-419C-BB7B-D20C0967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1"/>
    <w:basedOn w:val="Normal"/>
    <w:next w:val="BodyText"/>
    <w:qFormat/>
    <w:pPr>
      <w:keepNext/>
      <w:spacing w:after="240"/>
      <w:outlineLvl w:val="0"/>
    </w:pPr>
    <w:rPr>
      <w:szCs w:val="24"/>
    </w:rPr>
  </w:style>
  <w:style w:type="paragraph" w:styleId="Heading2">
    <w:name w:val="heading 2"/>
    <w:aliases w:val="2"/>
    <w:basedOn w:val="Normal"/>
    <w:next w:val="BodyText"/>
    <w:link w:val="Heading2Char"/>
    <w:qFormat/>
    <w:pPr>
      <w:spacing w:after="240"/>
      <w:outlineLvl w:val="1"/>
    </w:pPr>
    <w:rPr>
      <w:szCs w:val="24"/>
    </w:rPr>
  </w:style>
  <w:style w:type="paragraph" w:styleId="Heading3">
    <w:name w:val="heading 3"/>
    <w:aliases w:val="3"/>
    <w:basedOn w:val="Normal"/>
    <w:next w:val="BodyText"/>
    <w:qFormat/>
    <w:pPr>
      <w:spacing w:after="240"/>
      <w:outlineLvl w:val="2"/>
    </w:pPr>
    <w:rPr>
      <w:szCs w:val="24"/>
    </w:rPr>
  </w:style>
  <w:style w:type="paragraph" w:styleId="Heading4">
    <w:name w:val="heading 4"/>
    <w:aliases w:val="4"/>
    <w:basedOn w:val="Normal"/>
    <w:next w:val="BodyText"/>
    <w:qFormat/>
    <w:pPr>
      <w:spacing w:after="240"/>
      <w:outlineLvl w:val="3"/>
    </w:pPr>
    <w:rPr>
      <w:szCs w:val="24"/>
    </w:rPr>
  </w:style>
  <w:style w:type="paragraph" w:styleId="Heading5">
    <w:name w:val="heading 5"/>
    <w:aliases w:val="5"/>
    <w:basedOn w:val="Normal"/>
    <w:next w:val="BodyText"/>
    <w:qFormat/>
    <w:pPr>
      <w:spacing w:after="240"/>
      <w:outlineLvl w:val="4"/>
    </w:pPr>
    <w:rPr>
      <w:szCs w:val="24"/>
    </w:rPr>
  </w:style>
  <w:style w:type="paragraph" w:styleId="Heading6">
    <w:name w:val="heading 6"/>
    <w:aliases w:val="6"/>
    <w:basedOn w:val="Normal"/>
    <w:next w:val="BodyText"/>
    <w:qFormat/>
    <w:pPr>
      <w:spacing w:after="240"/>
      <w:outlineLvl w:val="5"/>
    </w:pPr>
    <w:rPr>
      <w:szCs w:val="24"/>
    </w:rPr>
  </w:style>
  <w:style w:type="paragraph" w:styleId="Heading7">
    <w:name w:val="heading 7"/>
    <w:aliases w:val="7"/>
    <w:basedOn w:val="Normal"/>
    <w:next w:val="BodyText"/>
    <w:qFormat/>
    <w:pPr>
      <w:spacing w:after="240"/>
      <w:outlineLvl w:val="6"/>
    </w:pPr>
    <w:rPr>
      <w:szCs w:val="24"/>
    </w:rPr>
  </w:style>
  <w:style w:type="paragraph" w:styleId="Heading8">
    <w:name w:val="heading 8"/>
    <w:aliases w:val="8"/>
    <w:basedOn w:val="Normal"/>
    <w:next w:val="BodyText"/>
    <w:qFormat/>
    <w:pPr>
      <w:spacing w:after="240"/>
      <w:outlineLvl w:val="7"/>
    </w:pPr>
    <w:rPr>
      <w:szCs w:val="24"/>
    </w:rPr>
  </w:style>
  <w:style w:type="paragraph" w:styleId="Heading9">
    <w:name w:val="heading 9"/>
    <w:aliases w:val="9"/>
    <w:basedOn w:val="Normal"/>
    <w:next w:val="BodyText"/>
    <w:qFormat/>
    <w:pPr>
      <w:spacing w:after="240"/>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pPr>
      <w:spacing w:after="120"/>
      <w:ind w:left="1440" w:right="1440"/>
    </w:pPr>
  </w:style>
  <w:style w:type="paragraph" w:styleId="BodyText2">
    <w:name w:val="Body Text 2"/>
    <w:aliases w:val="bt2"/>
    <w:basedOn w:val="Normal"/>
    <w:pPr>
      <w:spacing w:line="480" w:lineRule="auto"/>
    </w:pPr>
  </w:style>
  <w:style w:type="paragraph" w:styleId="BodyText3">
    <w:name w:val="Body Text 3"/>
    <w:aliases w:val="bt3"/>
    <w:basedOn w:val="Normal"/>
    <w:pPr>
      <w:spacing w:after="240"/>
    </w:pPr>
  </w:style>
  <w:style w:type="paragraph" w:styleId="BodyTextIndent">
    <w:name w:val="Body Text Indent"/>
    <w:aliases w:val="bi"/>
    <w:basedOn w:val="Normal"/>
    <w:pPr>
      <w:spacing w:after="240"/>
      <w:ind w:left="720"/>
    </w:pPr>
  </w:style>
  <w:style w:type="paragraph" w:styleId="BodyTextFirstIndent2">
    <w:name w:val="Body Text First Indent 2"/>
    <w:aliases w:val="bfi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i"/>
    <w:basedOn w:val="BodyText"/>
    <w:pPr>
      <w:ind w:firstLine="720"/>
    </w:pPr>
  </w:style>
  <w:style w:type="paragraph" w:styleId="BodyTextIndent2">
    <w:name w:val="Body Text Indent 2"/>
    <w:aliases w:val="bi2"/>
    <w:basedOn w:val="Normal"/>
    <w:pPr>
      <w:spacing w:line="480" w:lineRule="auto"/>
      <w:ind w:left="720"/>
    </w:pPr>
  </w:style>
  <w:style w:type="paragraph" w:styleId="BodyTextIndent3">
    <w:name w:val="Body Text Indent 3"/>
    <w:aliases w:val="bi3"/>
    <w:basedOn w:val="Normal"/>
    <w:pPr>
      <w:spacing w:after="120" w:line="360" w:lineRule="auto"/>
      <w:ind w:left="720"/>
    </w:p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rPr>
      <w:spacing w:val="20"/>
      <w:sz w:val="14"/>
    </w:rPr>
  </w:style>
  <w:style w:type="character" w:styleId="FootnoteReference">
    <w:name w:val="footnote reference"/>
    <w:semiHidden/>
    <w:rPr>
      <w:vertAlign w:val="superscript"/>
    </w:rPr>
  </w:style>
  <w:style w:type="paragraph" w:styleId="FootnoteText">
    <w:name w:val="footnote text"/>
    <w:basedOn w:val="Normal"/>
    <w:semiHidden/>
    <w:pPr>
      <w:keepLines/>
      <w:spacing w:line="200" w:lineRule="exact"/>
    </w:pPr>
    <w:rPr>
      <w:sz w:val="20"/>
    </w:rPr>
  </w:style>
  <w:style w:type="paragraph" w:styleId="Header">
    <w:name w:val="header"/>
    <w:basedOn w:val="Normal"/>
    <w:pPr>
      <w:tabs>
        <w:tab w:val="center" w:pos="4320"/>
        <w:tab w:val="right" w:pos="8640"/>
      </w:tabs>
    </w:p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2">
    <w:name w:val="List 2"/>
    <w:aliases w:val="l2"/>
    <w:basedOn w:val="Normal"/>
    <w:pPr>
      <w:spacing w:after="240"/>
      <w:ind w:left="720" w:hanging="360"/>
    </w:pPr>
  </w:style>
  <w:style w:type="paragraph" w:styleId="List3">
    <w:name w:val="List 3"/>
    <w:aliases w:val="l3"/>
    <w:basedOn w:val="Normal"/>
    <w:pPr>
      <w:spacing w:after="240"/>
      <w:ind w:left="1080" w:hanging="360"/>
    </w:pPr>
  </w:style>
  <w:style w:type="paragraph" w:styleId="List4">
    <w:name w:val="List 4"/>
    <w:aliases w:val="l4"/>
    <w:basedOn w:val="Normal"/>
    <w:pPr>
      <w:spacing w:after="240"/>
      <w:ind w:left="1440" w:hanging="360"/>
    </w:pPr>
  </w:style>
  <w:style w:type="paragraph" w:styleId="List5">
    <w:name w:val="List 5"/>
    <w:aliases w:val="l5"/>
    <w:basedOn w:val="Normal"/>
    <w:pPr>
      <w:spacing w:after="240"/>
      <w:ind w:left="1800" w:hanging="360"/>
    </w:pPr>
  </w:style>
  <w:style w:type="paragraph" w:styleId="ListBullet2">
    <w:name w:val="List Bullet 2"/>
    <w:aliases w:val="lb2"/>
    <w:basedOn w:val="Normal"/>
    <w:pPr>
      <w:numPr>
        <w:numId w:val="1"/>
      </w:numPr>
      <w:spacing w:after="240"/>
    </w:pPr>
  </w:style>
  <w:style w:type="paragraph" w:styleId="ListBullet3">
    <w:name w:val="List Bullet 3"/>
    <w:aliases w:val="lb3"/>
    <w:basedOn w:val="Normal"/>
    <w:pPr>
      <w:numPr>
        <w:numId w:val="3"/>
      </w:numPr>
    </w:pPr>
  </w:style>
  <w:style w:type="paragraph" w:styleId="ListBullet4">
    <w:name w:val="List Bullet 4"/>
    <w:aliases w:val="lb4"/>
    <w:basedOn w:val="Normal"/>
    <w:pPr>
      <w:numPr>
        <w:numId w:val="5"/>
      </w:numPr>
      <w:spacing w:after="240"/>
    </w:pPr>
  </w:style>
  <w:style w:type="paragraph" w:styleId="ListBullet5">
    <w:name w:val="List Bullet 5"/>
    <w:aliases w:val="lb5"/>
    <w:basedOn w:val="Normal"/>
    <w:pPr>
      <w:numPr>
        <w:numId w:val="7"/>
      </w:numPr>
      <w:spacing w:after="240"/>
    </w:pPr>
  </w:style>
  <w:style w:type="paragraph" w:styleId="ListBullet">
    <w:name w:val="List Bullet"/>
    <w:aliases w:val="lb"/>
    <w:basedOn w:val="Normal"/>
    <w:pPr>
      <w:numPr>
        <w:numId w:val="9"/>
      </w:numPr>
    </w:pPr>
  </w:style>
  <w:style w:type="paragraph" w:styleId="ListContinue2">
    <w:name w:val="List Continue 2"/>
    <w:aliases w:val="lc2"/>
    <w:basedOn w:val="Normal"/>
    <w:pPr>
      <w:spacing w:after="240"/>
      <w:ind w:left="720"/>
    </w:pPr>
  </w:style>
  <w:style w:type="paragraph" w:styleId="ListContinue3">
    <w:name w:val="List Continue 3"/>
    <w:aliases w:val="lc3"/>
    <w:basedOn w:val="Normal"/>
    <w:pPr>
      <w:spacing w:after="240"/>
      <w:ind w:left="1080"/>
    </w:pPr>
  </w:style>
  <w:style w:type="paragraph" w:styleId="ListContinue4">
    <w:name w:val="List Continue 4"/>
    <w:aliases w:val="lc4"/>
    <w:basedOn w:val="Normal"/>
    <w:pPr>
      <w:spacing w:after="240"/>
      <w:ind w:left="1440"/>
    </w:pPr>
  </w:style>
  <w:style w:type="paragraph" w:styleId="ListContinue5">
    <w:name w:val="List Continue 5"/>
    <w:aliases w:val="lc5"/>
    <w:basedOn w:val="Normal"/>
    <w:pPr>
      <w:spacing w:after="240"/>
      <w:ind w:left="1800"/>
    </w:pPr>
  </w:style>
  <w:style w:type="paragraph" w:customStyle="1" w:styleId="ListContinue6">
    <w:name w:val="List Continue 6"/>
    <w:aliases w:val="lc6"/>
    <w:basedOn w:val="Normal"/>
    <w:pPr>
      <w:spacing w:after="240"/>
      <w:ind w:left="4320"/>
    </w:pPr>
  </w:style>
  <w:style w:type="paragraph" w:customStyle="1" w:styleId="ListContinue7">
    <w:name w:val="List Continue 7"/>
    <w:aliases w:val="lc7"/>
    <w:basedOn w:val="Normal"/>
    <w:pPr>
      <w:spacing w:after="240"/>
      <w:ind w:left="5040"/>
    </w:pPr>
  </w:style>
  <w:style w:type="paragraph" w:customStyle="1" w:styleId="ListContinue8">
    <w:name w:val="List Continue 8"/>
    <w:aliases w:val="lc8"/>
    <w:basedOn w:val="Normal"/>
    <w:pPr>
      <w:spacing w:after="240"/>
      <w:ind w:left="5760"/>
    </w:pPr>
  </w:style>
  <w:style w:type="paragraph" w:customStyle="1" w:styleId="ListContinue9">
    <w:name w:val="List Continue 9"/>
    <w:aliases w:val="lc9"/>
    <w:basedOn w:val="Normal"/>
    <w:pPr>
      <w:spacing w:after="240"/>
      <w:ind w:left="6480"/>
    </w:pPr>
  </w:style>
  <w:style w:type="paragraph" w:styleId="ListContinue">
    <w:name w:val="List Continue"/>
    <w:aliases w:val="lc"/>
    <w:basedOn w:val="Normal"/>
    <w:pPr>
      <w:spacing w:after="240"/>
      <w:ind w:left="360"/>
    </w:pPr>
  </w:style>
  <w:style w:type="paragraph" w:styleId="ListNumber2">
    <w:name w:val="List Number 2"/>
    <w:aliases w:val="ln2"/>
    <w:basedOn w:val="Normal"/>
    <w:pPr>
      <w:numPr>
        <w:numId w:val="11"/>
      </w:numPr>
      <w:spacing w:after="240"/>
    </w:pPr>
  </w:style>
  <w:style w:type="paragraph" w:styleId="ListNumber3">
    <w:name w:val="List Number 3"/>
    <w:aliases w:val="ln3"/>
    <w:basedOn w:val="Normal"/>
    <w:pPr>
      <w:numPr>
        <w:numId w:val="13"/>
      </w:numPr>
      <w:spacing w:after="240"/>
    </w:pPr>
  </w:style>
  <w:style w:type="paragraph" w:styleId="ListNumber4">
    <w:name w:val="List Number 4"/>
    <w:aliases w:val="ln4"/>
    <w:basedOn w:val="Normal"/>
    <w:pPr>
      <w:numPr>
        <w:numId w:val="15"/>
      </w:numPr>
      <w:spacing w:after="240"/>
    </w:pPr>
  </w:style>
  <w:style w:type="paragraph" w:styleId="ListNumber5">
    <w:name w:val="List Number 5"/>
    <w:aliases w:val="ln5"/>
    <w:basedOn w:val="Normal"/>
    <w:pPr>
      <w:numPr>
        <w:numId w:val="17"/>
      </w:numPr>
      <w:spacing w:after="240"/>
    </w:pPr>
  </w:style>
  <w:style w:type="paragraph" w:styleId="ListNumber">
    <w:name w:val="List Number"/>
    <w:aliases w:val="ln"/>
    <w:basedOn w:val="Normal"/>
    <w:pPr>
      <w:numPr>
        <w:numId w:val="19"/>
      </w:numPr>
      <w:spacing w:after="240"/>
    </w:pPr>
  </w:style>
  <w:style w:type="paragraph" w:styleId="List">
    <w:name w:val="List"/>
    <w:aliases w:val="l"/>
    <w:basedOn w:val="Normal"/>
    <w:pPr>
      <w:spacing w:after="240"/>
      <w:ind w:left="360" w:hanging="360"/>
    </w:pPr>
  </w:style>
  <w:style w:type="paragraph" w:styleId="MacroText">
    <w:name w:val="macro"/>
    <w:aliases w:val="zz"/>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rPr>
  </w:style>
  <w:style w:type="paragraph" w:styleId="Salutation">
    <w:name w:val="Salutation"/>
    <w:basedOn w:val="Normal"/>
    <w:next w:val="Normal"/>
    <w:pPr>
      <w:spacing w:after="240"/>
    </w:pPr>
  </w:style>
  <w:style w:type="paragraph" w:styleId="Signature">
    <w:name w:val="Signature"/>
    <w:basedOn w:val="Normal"/>
    <w:pPr>
      <w:spacing w:before="480"/>
      <w:ind w:left="4320"/>
    </w:pPr>
  </w:style>
  <w:style w:type="character" w:styleId="Strong">
    <w:name w:val="Strong"/>
    <w:qFormat/>
    <w:rPr>
      <w:b/>
      <w:bCs/>
    </w:rPr>
  </w:style>
  <w:style w:type="paragraph" w:customStyle="1" w:styleId="SubtitleCentered">
    <w:name w:val="Subtitle Centered"/>
    <w:aliases w:val="stc"/>
    <w:basedOn w:val="Normal"/>
    <w:pPr>
      <w:keepNext/>
      <w:spacing w:after="240"/>
      <w:jc w:val="center"/>
    </w:pPr>
    <w:rPr>
      <w:u w:val="single"/>
    </w:rPr>
  </w:style>
  <w:style w:type="paragraph" w:styleId="Subtitle">
    <w:name w:val="Subtitle"/>
    <w:aliases w:val="st"/>
    <w:basedOn w:val="Normal"/>
    <w:qFormat/>
    <w:pPr>
      <w:spacing w:after="24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aliases w:val="t"/>
    <w:basedOn w:val="Normal"/>
    <w:qFormat/>
    <w:pPr>
      <w:spacing w:after="240"/>
      <w:jc w:val="center"/>
      <w:outlineLvl w:val="0"/>
    </w:pPr>
    <w:rPr>
      <w:b/>
      <w:kern w:val="28"/>
      <w:sz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tabs>
        <w:tab w:val="left" w:pos="720"/>
        <w:tab w:val="right" w:leader="dot" w:pos="9360"/>
      </w:tabs>
      <w:spacing w:before="240"/>
      <w:ind w:left="720" w:right="475" w:hanging="720"/>
    </w:pPr>
  </w:style>
  <w:style w:type="paragraph" w:styleId="TOC2">
    <w:name w:val="toc 2"/>
    <w:basedOn w:val="Normal"/>
    <w:next w:val="Normal"/>
    <w:autoRedefine/>
    <w:semiHidden/>
    <w:pPr>
      <w:tabs>
        <w:tab w:val="left" w:pos="1440"/>
        <w:tab w:val="right" w:leader="dot" w:pos="9360"/>
      </w:tabs>
      <w:ind w:left="1440" w:hanging="720"/>
    </w:pPr>
  </w:style>
  <w:style w:type="paragraph" w:styleId="TOC3">
    <w:name w:val="toc 3"/>
    <w:basedOn w:val="Normal"/>
    <w:next w:val="Normal"/>
    <w:autoRedefine/>
    <w:semiHidden/>
    <w:pPr>
      <w:tabs>
        <w:tab w:val="left" w:pos="2160"/>
        <w:tab w:val="right" w:leader="dot" w:pos="9360"/>
      </w:tabs>
      <w:ind w:left="2160" w:hanging="720"/>
    </w:pPr>
  </w:style>
  <w:style w:type="paragraph" w:styleId="TOC4">
    <w:name w:val="toc 4"/>
    <w:basedOn w:val="Normal"/>
    <w:next w:val="Normal"/>
    <w:autoRedefine/>
    <w:semiHidden/>
    <w:pPr>
      <w:tabs>
        <w:tab w:val="left" w:pos="1900"/>
        <w:tab w:val="right" w:leader="dot" w:pos="9360"/>
      </w:tabs>
      <w:ind w:left="1900" w:hanging="460"/>
    </w:pPr>
  </w:style>
  <w:style w:type="paragraph" w:styleId="TOC5">
    <w:name w:val="toc 5"/>
    <w:basedOn w:val="Normal"/>
    <w:next w:val="Normal"/>
    <w:autoRedefine/>
    <w:semiHidden/>
    <w:pPr>
      <w:tabs>
        <w:tab w:val="right" w:leader="dot" w:pos="9360"/>
      </w:tabs>
      <w:ind w:left="960"/>
    </w:pPr>
  </w:style>
  <w:style w:type="paragraph" w:styleId="TOC6">
    <w:name w:val="toc 6"/>
    <w:basedOn w:val="Normal"/>
    <w:next w:val="Normal"/>
    <w:autoRedefine/>
    <w:semiHidden/>
    <w:pPr>
      <w:tabs>
        <w:tab w:val="right" w:leader="dot" w:pos="9360"/>
      </w:tabs>
      <w:ind w:left="1200"/>
    </w:pPr>
  </w:style>
  <w:style w:type="paragraph" w:styleId="TOC7">
    <w:name w:val="toc 7"/>
    <w:basedOn w:val="Normal"/>
    <w:next w:val="Normal"/>
    <w:autoRedefine/>
    <w:semiHidden/>
    <w:pPr>
      <w:tabs>
        <w:tab w:val="right" w:leader="dot" w:pos="9360"/>
      </w:tabs>
      <w:ind w:left="1440"/>
    </w:pPr>
  </w:style>
  <w:style w:type="paragraph" w:styleId="TOC8">
    <w:name w:val="toc 8"/>
    <w:basedOn w:val="Normal"/>
    <w:next w:val="Normal"/>
    <w:autoRedefine/>
    <w:semiHidden/>
    <w:pPr>
      <w:tabs>
        <w:tab w:val="right" w:leader="dot" w:pos="9360"/>
      </w:tabs>
      <w:ind w:left="1680"/>
    </w:pPr>
  </w:style>
  <w:style w:type="paragraph" w:styleId="TOC9">
    <w:name w:val="toc 9"/>
    <w:basedOn w:val="Normal"/>
    <w:next w:val="Normal"/>
    <w:autoRedefine/>
    <w:semiHidden/>
    <w:pPr>
      <w:tabs>
        <w:tab w:val="right" w:leader="dot" w:pos="9360"/>
      </w:tabs>
      <w:ind w:left="1920"/>
    </w:pPr>
  </w:style>
  <w:style w:type="paragraph" w:customStyle="1" w:styleId="UKDefinitionsIndent">
    <w:name w:val="UK Definitions/Indent"/>
    <w:basedOn w:val="Normal"/>
    <w:pPr>
      <w:widowControl w:val="0"/>
      <w:spacing w:after="240"/>
      <w:ind w:left="720"/>
      <w:jc w:val="both"/>
    </w:pPr>
  </w:style>
  <w:style w:type="paragraph" w:customStyle="1" w:styleId="UKParties">
    <w:name w:val="UK Parties"/>
    <w:basedOn w:val="Normal"/>
    <w:pPr>
      <w:widowControl w:val="0"/>
      <w:numPr>
        <w:numId w:val="21"/>
      </w:numPr>
      <w:spacing w:after="240"/>
      <w:jc w:val="both"/>
    </w:pPr>
  </w:style>
  <w:style w:type="paragraph" w:customStyle="1" w:styleId="UKRecitals">
    <w:name w:val="UK Recitals"/>
    <w:basedOn w:val="Normal"/>
    <w:pPr>
      <w:widowControl w:val="0"/>
      <w:numPr>
        <w:numId w:val="22"/>
      </w:numPr>
      <w:spacing w:after="240"/>
      <w:jc w:val="both"/>
    </w:pPr>
  </w:style>
  <w:style w:type="paragraph" w:customStyle="1" w:styleId="FirmDelivery">
    <w:name w:val="Firm Delivery"/>
    <w:basedOn w:val="Normal"/>
    <w:pPr>
      <w:spacing w:after="240"/>
    </w:pPr>
  </w:style>
  <w:style w:type="paragraph" w:customStyle="1" w:styleId="FirmDate">
    <w:name w:val="Firm Date"/>
    <w:basedOn w:val="Normal"/>
    <w:pPr>
      <w:spacing w:after="240" w:line="220" w:lineRule="exact"/>
    </w:pPr>
  </w:style>
  <w:style w:type="paragraph" w:customStyle="1" w:styleId="FirmInsideAddress">
    <w:name w:val="Firm InsideAddress"/>
    <w:basedOn w:val="Normal"/>
  </w:style>
  <w:style w:type="paragraph" w:customStyle="1" w:styleId="FirmRe">
    <w:name w:val="Firm Re"/>
    <w:basedOn w:val="Normal"/>
    <w:pPr>
      <w:numPr>
        <w:numId w:val="23"/>
      </w:numPr>
      <w:spacing w:before="240"/>
    </w:pPr>
  </w:style>
  <w:style w:type="paragraph" w:customStyle="1" w:styleId="FirmClosing">
    <w:name w:val="Firm Closing"/>
    <w:basedOn w:val="Normal"/>
    <w:next w:val="FirmFrom2"/>
    <w:pPr>
      <w:keepNext/>
      <w:spacing w:before="240" w:after="960"/>
    </w:pPr>
  </w:style>
  <w:style w:type="paragraph" w:customStyle="1" w:styleId="Firmcc">
    <w:name w:val="Firm cc"/>
    <w:basedOn w:val="Normal"/>
    <w:next w:val="FirmEnccc"/>
    <w:pPr>
      <w:tabs>
        <w:tab w:val="left" w:pos="720"/>
      </w:tabs>
      <w:ind w:left="720" w:hanging="720"/>
    </w:pPr>
  </w:style>
  <w:style w:type="paragraph" w:customStyle="1" w:styleId="Firmbcc">
    <w:name w:val="Firm bcc"/>
    <w:basedOn w:val="Normal"/>
    <w:next w:val="FirmEnccc"/>
    <w:pPr>
      <w:pageBreakBefore/>
      <w:tabs>
        <w:tab w:val="left" w:pos="720"/>
      </w:tabs>
      <w:ind w:left="720" w:hanging="720"/>
    </w:pPr>
  </w:style>
  <w:style w:type="paragraph" w:customStyle="1" w:styleId="FirmSpace1">
    <w:name w:val="Firm Space1"/>
    <w:basedOn w:val="Normal"/>
    <w:rPr>
      <w:sz w:val="2"/>
    </w:rPr>
  </w:style>
  <w:style w:type="paragraph" w:customStyle="1" w:styleId="FirmSalutation">
    <w:name w:val="Firm Salutation"/>
    <w:basedOn w:val="Normal"/>
    <w:pPr>
      <w:spacing w:before="264" w:after="264"/>
    </w:pPr>
  </w:style>
  <w:style w:type="paragraph" w:customStyle="1" w:styleId="FirmURL">
    <w:name w:val="Firm URL"/>
    <w:basedOn w:val="Normal"/>
    <w:pPr>
      <w:spacing w:before="300"/>
      <w:jc w:val="center"/>
    </w:pPr>
    <w:rPr>
      <w:b/>
      <w:sz w:val="20"/>
    </w:rPr>
  </w:style>
  <w:style w:type="paragraph" w:customStyle="1" w:styleId="FirmTypistInitials">
    <w:name w:val="Firm Typist Initials"/>
    <w:basedOn w:val="Normal"/>
    <w:pPr>
      <w:spacing w:before="240"/>
    </w:pPr>
  </w:style>
  <w:style w:type="paragraph" w:customStyle="1" w:styleId="FirmEnclosure">
    <w:name w:val="Firm Enclosure"/>
    <w:basedOn w:val="Normal"/>
    <w:next w:val="Firmcc"/>
  </w:style>
  <w:style w:type="paragraph" w:customStyle="1" w:styleId="FirmFrom2">
    <w:name w:val="Firm From2"/>
    <w:basedOn w:val="Normal"/>
    <w:next w:val="FirmTypistInitials"/>
    <w:pPr>
      <w:keepNext/>
    </w:pPr>
  </w:style>
  <w:style w:type="paragraph" w:customStyle="1" w:styleId="Footer1">
    <w:name w:val="Footer1"/>
    <w:basedOn w:val="FirmInsideAddress"/>
    <w:rPr>
      <w:vanish/>
      <w:sz w:val="12"/>
    </w:rPr>
  </w:style>
  <w:style w:type="paragraph" w:customStyle="1" w:styleId="Footer2">
    <w:name w:val="Footer2"/>
    <w:basedOn w:val="Footer1"/>
    <w:rPr>
      <w:vanish w:val="0"/>
    </w:rPr>
  </w:style>
  <w:style w:type="paragraph" w:customStyle="1" w:styleId="FirmOpinion">
    <w:name w:val="Firm Opinion"/>
    <w:basedOn w:val="Normal"/>
    <w:next w:val="FirmFrom2"/>
    <w:pPr>
      <w:tabs>
        <w:tab w:val="left" w:pos="475"/>
        <w:tab w:val="left" w:pos="4320"/>
      </w:tabs>
    </w:pPr>
    <w:rPr>
      <w:u w:val="single"/>
    </w:rPr>
  </w:style>
  <w:style w:type="paragraph" w:customStyle="1" w:styleId="FirmFrom">
    <w:name w:val="Firm From"/>
    <w:basedOn w:val="Normal"/>
    <w:pPr>
      <w:tabs>
        <w:tab w:val="center" w:pos="8460"/>
      </w:tabs>
      <w:ind w:right="-720"/>
    </w:pPr>
    <w:rPr>
      <w:smallCaps/>
      <w:sz w:val="20"/>
    </w:rPr>
  </w:style>
  <w:style w:type="paragraph" w:customStyle="1" w:styleId="FirmDirectDial">
    <w:name w:val="Firm DirectDial"/>
    <w:basedOn w:val="Normal"/>
    <w:pPr>
      <w:tabs>
        <w:tab w:val="center" w:pos="8460"/>
      </w:tabs>
      <w:spacing w:before="140"/>
      <w:ind w:right="-720"/>
    </w:pPr>
    <w:rPr>
      <w:sz w:val="16"/>
    </w:rPr>
  </w:style>
  <w:style w:type="paragraph" w:customStyle="1" w:styleId="FirmEmail">
    <w:name w:val="Firm Email"/>
    <w:basedOn w:val="Normal"/>
    <w:pPr>
      <w:tabs>
        <w:tab w:val="center" w:pos="8460"/>
      </w:tabs>
      <w:ind w:right="-720"/>
    </w:pPr>
    <w:rPr>
      <w:sz w:val="16"/>
    </w:rPr>
  </w:style>
  <w:style w:type="paragraph" w:customStyle="1" w:styleId="Firm-name">
    <w:name w:val="Firm-name"/>
    <w:basedOn w:val="Normal"/>
    <w:pPr>
      <w:spacing w:line="360" w:lineRule="exact"/>
      <w:jc w:val="center"/>
    </w:pPr>
    <w:rPr>
      <w:smallCaps/>
      <w:sz w:val="40"/>
    </w:rPr>
  </w:style>
  <w:style w:type="paragraph" w:customStyle="1" w:styleId="Firmaddress">
    <w:name w:val="Firm address"/>
    <w:basedOn w:val="Normal"/>
    <w:pPr>
      <w:spacing w:before="60"/>
      <w:jc w:val="center"/>
    </w:pPr>
    <w:rPr>
      <w:smallCaps/>
      <w:sz w:val="16"/>
    </w:rPr>
  </w:style>
  <w:style w:type="paragraph" w:customStyle="1" w:styleId="Firmphone">
    <w:name w:val="Firm phone"/>
    <w:basedOn w:val="Header"/>
    <w:pPr>
      <w:spacing w:before="60"/>
      <w:jc w:val="center"/>
    </w:pPr>
    <w:rPr>
      <w:smallCaps/>
      <w:sz w:val="16"/>
    </w:rPr>
  </w:style>
  <w:style w:type="paragraph" w:customStyle="1" w:styleId="FirmAddress0">
    <w:name w:val="Firm Address"/>
    <w:basedOn w:val="Normal"/>
    <w:pPr>
      <w:spacing w:before="240"/>
      <w:jc w:val="center"/>
    </w:pPr>
    <w:rPr>
      <w:smallCaps/>
      <w:sz w:val="16"/>
    </w:rPr>
  </w:style>
  <w:style w:type="paragraph" w:customStyle="1" w:styleId="FirmName">
    <w:name w:val="Firm Name"/>
    <w:basedOn w:val="Normal"/>
    <w:pPr>
      <w:spacing w:line="360" w:lineRule="exact"/>
      <w:jc w:val="center"/>
    </w:pPr>
    <w:rPr>
      <w:smallCaps/>
      <w:sz w:val="40"/>
    </w:rPr>
  </w:style>
  <w:style w:type="paragraph" w:customStyle="1" w:styleId="Firmcal">
    <w:name w:val="Firm cal"/>
    <w:basedOn w:val="Normal"/>
    <w:pPr>
      <w:jc w:val="center"/>
    </w:pPr>
    <w:rPr>
      <w:smallCaps/>
      <w:spacing w:val="80"/>
      <w:sz w:val="14"/>
    </w:rPr>
  </w:style>
  <w:style w:type="paragraph" w:customStyle="1" w:styleId="Firmfooter">
    <w:name w:val="Firm footer"/>
    <w:basedOn w:val="Normal"/>
    <w:pPr>
      <w:tabs>
        <w:tab w:val="left" w:pos="6048"/>
      </w:tabs>
      <w:spacing w:before="60"/>
      <w:jc w:val="center"/>
    </w:pPr>
    <w:rPr>
      <w:i/>
      <w:sz w:val="13"/>
    </w:rPr>
  </w:style>
  <w:style w:type="paragraph" w:customStyle="1" w:styleId="FirmClosing2">
    <w:name w:val="Firm Closing2"/>
    <w:basedOn w:val="Normal"/>
    <w:next w:val="FirmFrom2"/>
    <w:pPr>
      <w:keepNext/>
      <w:spacing w:before="264" w:after="960"/>
    </w:pPr>
  </w:style>
  <w:style w:type="paragraph" w:customStyle="1" w:styleId="FirmClosing3">
    <w:name w:val="Firm Closing3"/>
    <w:basedOn w:val="FirmClosing2"/>
    <w:next w:val="FirmTypistInitials"/>
    <w:pPr>
      <w:spacing w:before="0" w:after="240"/>
    </w:pPr>
    <w:rPr>
      <w:caps/>
    </w:rPr>
  </w:style>
  <w:style w:type="paragraph" w:customStyle="1" w:styleId="FirmJurisQ">
    <w:name w:val="Firm JurisQ"/>
    <w:basedOn w:val="FirmDirectDial"/>
    <w:pPr>
      <w:spacing w:before="0"/>
    </w:pPr>
  </w:style>
  <w:style w:type="paragraph" w:customStyle="1" w:styleId="FirmOffices">
    <w:name w:val="Firm Offices"/>
    <w:basedOn w:val="Footer"/>
    <w:pPr>
      <w:pBdr>
        <w:bottom w:val="single" w:sz="2" w:space="1" w:color="auto"/>
      </w:pBdr>
      <w:tabs>
        <w:tab w:val="clear" w:pos="4320"/>
        <w:tab w:val="clear" w:pos="8640"/>
        <w:tab w:val="center" w:pos="1260"/>
        <w:tab w:val="center" w:pos="2250"/>
        <w:tab w:val="center" w:pos="3330"/>
        <w:tab w:val="center" w:pos="4410"/>
        <w:tab w:val="center" w:pos="5490"/>
        <w:tab w:val="center" w:pos="6570"/>
        <w:tab w:val="center" w:pos="7650"/>
        <w:tab w:val="right" w:pos="9360"/>
      </w:tabs>
    </w:pPr>
    <w:rPr>
      <w:smallCaps/>
    </w:rPr>
  </w:style>
  <w:style w:type="paragraph" w:customStyle="1" w:styleId="FirmEmail2">
    <w:name w:val="Firm Email2"/>
    <w:basedOn w:val="Normal"/>
    <w:pPr>
      <w:keepNext/>
      <w:spacing w:after="240"/>
    </w:pPr>
    <w:rPr>
      <w:sz w:val="22"/>
    </w:rPr>
  </w:style>
  <w:style w:type="paragraph" w:customStyle="1" w:styleId="FirmPhone2">
    <w:name w:val="Firm Phone2"/>
    <w:basedOn w:val="Normal"/>
    <w:pPr>
      <w:keepNext/>
    </w:pPr>
    <w:rPr>
      <w:sz w:val="22"/>
    </w:rPr>
  </w:style>
  <w:style w:type="paragraph" w:customStyle="1" w:styleId="FirmTitle2">
    <w:name w:val="Firm Title2"/>
    <w:basedOn w:val="Normal"/>
    <w:pPr>
      <w:keepNext/>
      <w:spacing w:after="240"/>
    </w:pPr>
    <w:rPr>
      <w:sz w:val="22"/>
    </w:rPr>
  </w:style>
  <w:style w:type="paragraph" w:customStyle="1" w:styleId="FirmEnccc">
    <w:name w:val="Firm Enc cc"/>
    <w:basedOn w:val="FirmEnclosure"/>
  </w:style>
  <w:style w:type="paragraph" w:customStyle="1" w:styleId="Firmtitle">
    <w:name w:val="Firm title"/>
    <w:basedOn w:val="Normal"/>
    <w:pPr>
      <w:tabs>
        <w:tab w:val="center" w:pos="8460"/>
      </w:tabs>
      <w:ind w:right="-720"/>
    </w:pPr>
    <w:rPr>
      <w:smallCaps/>
      <w:sz w:val="16"/>
    </w:rPr>
  </w:style>
  <w:style w:type="paragraph" w:customStyle="1" w:styleId="FromName">
    <w:name w:val="From Name"/>
    <w:basedOn w:val="Normal"/>
    <w:rsid w:val="005F3576"/>
    <w:pPr>
      <w:jc w:val="right"/>
    </w:pPr>
    <w:rPr>
      <w:b/>
      <w:sz w:val="18"/>
      <w:szCs w:val="18"/>
    </w:rPr>
  </w:style>
  <w:style w:type="paragraph" w:customStyle="1" w:styleId="FromEmail">
    <w:name w:val="From Email"/>
    <w:basedOn w:val="Normal"/>
    <w:rsid w:val="005F3576"/>
    <w:pPr>
      <w:jc w:val="right"/>
    </w:pPr>
    <w:rPr>
      <w:rFonts w:ascii="Arial" w:hAnsi="Arial" w:cs="Arial"/>
      <w:sz w:val="14"/>
      <w:szCs w:val="14"/>
    </w:rPr>
  </w:style>
  <w:style w:type="paragraph" w:customStyle="1" w:styleId="FromTitle">
    <w:name w:val="From Title"/>
    <w:basedOn w:val="FirmJurisQ"/>
    <w:rsid w:val="005F3576"/>
    <w:pPr>
      <w:framePr w:wrap="around" w:hAnchor="margin" w:xAlign="right" w:yAlign="top"/>
      <w:ind w:right="0"/>
      <w:suppressOverlap/>
      <w:jc w:val="right"/>
    </w:pPr>
  </w:style>
  <w:style w:type="character" w:styleId="UnresolvedMention">
    <w:name w:val="Unresolved Mention"/>
    <w:uiPriority w:val="99"/>
    <w:semiHidden/>
    <w:unhideWhenUsed/>
    <w:rsid w:val="00551873"/>
    <w:rPr>
      <w:color w:val="808080"/>
      <w:shd w:val="clear" w:color="auto" w:fill="E6E6E6"/>
    </w:rPr>
  </w:style>
  <w:style w:type="character" w:customStyle="1" w:styleId="Heading2Char">
    <w:name w:val="Heading 2 Char"/>
    <w:aliases w:val="2 Char"/>
    <w:basedOn w:val="DefaultParagraphFont"/>
    <w:link w:val="Heading2"/>
    <w:rsid w:val="00623DC5"/>
    <w:rPr>
      <w:sz w:val="24"/>
      <w:szCs w:val="24"/>
    </w:rPr>
  </w:style>
  <w:style w:type="paragraph" w:styleId="ListParagraph">
    <w:name w:val="List Paragraph"/>
    <w:basedOn w:val="Normal"/>
    <w:uiPriority w:val="34"/>
    <w:qFormat/>
    <w:rsid w:val="00623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9917">
      <w:bodyDiv w:val="1"/>
      <w:marLeft w:val="0"/>
      <w:marRight w:val="0"/>
      <w:marTop w:val="0"/>
      <w:marBottom w:val="0"/>
      <w:divBdr>
        <w:top w:val="none" w:sz="0" w:space="0" w:color="auto"/>
        <w:left w:val="none" w:sz="0" w:space="0" w:color="auto"/>
        <w:bottom w:val="none" w:sz="0" w:space="0" w:color="auto"/>
        <w:right w:val="none" w:sz="0" w:space="0" w:color="auto"/>
      </w:divBdr>
    </w:div>
    <w:div w:id="494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 A c t i v e U S ! 1 9 8 3 8 6 9 8 1 . 1 < / d o c u m e n t i d >  
     < s e n d e r i d > 2 6 5 1 5 < / s e n d e r i d >  
     < s e n d e r e m a i l > G A R Y . S C H A L L @ W I L M E R H A L E . C O M < / s e n d e r e m a i l >  
     < l a s t m o d i f i e d > 2 0 2 3 - 0 4 - 0 7 T 1 2 : 3 4 : 0 0 . 0 0 0 0 0 0 0 - 0 4 : 0 0 < / l a s t m o d i f i e d >  
     < d a t a b a s e > A c t i v e U S 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BA068C9039A748BC8E1A6E7583C0BF" ma:contentTypeVersion="0" ma:contentTypeDescription="Create a new document." ma:contentTypeScope="" ma:versionID="a490e5c34ef0f0316272c46c53b76f9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DFB94-2C91-483C-A5FF-F5C9DD8738C4}">
  <ds:schemaRefs>
    <ds:schemaRef ds:uri="http://www.imanage.com/work/xmlschema"/>
  </ds:schemaRefs>
</ds:datastoreItem>
</file>

<file path=customXml/itemProps2.xml><?xml version="1.0" encoding="utf-8"?>
<ds:datastoreItem xmlns:ds="http://schemas.openxmlformats.org/officeDocument/2006/customXml" ds:itemID="{211E9C47-41AF-4FEA-8B7A-B19187A7DF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D0F011-B634-4E6E-8262-68D040ADFB6C}">
  <ds:schemaRefs>
    <ds:schemaRef ds:uri="http://schemas.openxmlformats.org/officeDocument/2006/bibliography"/>
  </ds:schemaRefs>
</ds:datastoreItem>
</file>

<file path=customXml/itemProps4.xml><?xml version="1.0" encoding="utf-8"?>
<ds:datastoreItem xmlns:ds="http://schemas.openxmlformats.org/officeDocument/2006/customXml" ds:itemID="{9153EFEB-182F-4FAE-83D1-9C8E6ABEE76C}">
  <ds:schemaRefs>
    <ds:schemaRef ds:uri="http://schemas.microsoft.com/sharepoint/v3/contenttype/forms"/>
  </ds:schemaRefs>
</ds:datastoreItem>
</file>

<file path=customXml/itemProps5.xml><?xml version="1.0" encoding="utf-8"?>
<ds:datastoreItem xmlns:ds="http://schemas.openxmlformats.org/officeDocument/2006/customXml" ds:itemID="{3BDAB4EC-4163-4828-9E1A-57FB81F67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2791</Words>
  <Characters>20240</Characters>
  <Application>Microsoft Office Word</Application>
  <DocSecurity>0</DocSecurity>
  <Lines>880</Lines>
  <Paragraphs>959</Paragraphs>
  <ScaleCrop>false</ScaleCrop>
  <HeadingPairs>
    <vt:vector size="2" baseType="variant">
      <vt:variant>
        <vt:lpstr>Title</vt:lpstr>
      </vt:variant>
      <vt:variant>
        <vt:i4>1</vt:i4>
      </vt:variant>
    </vt:vector>
  </HeadingPairs>
  <TitlesOfParts>
    <vt:vector size="1" baseType="lpstr">
      <vt:lpstr>November 12, 2010</vt:lpstr>
    </vt:vector>
  </TitlesOfParts>
  <Company>Wilmer Cutler Pickering Hale and Dorr LLP</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Danford</dc:creator>
  <cp:keywords/>
  <dc:description/>
  <cp:lastModifiedBy>Bulcher, Laura</cp:lastModifiedBy>
  <cp:revision>2</cp:revision>
  <cp:lastPrinted>2018-02-13T18:44:00Z</cp:lastPrinted>
  <dcterms:created xsi:type="dcterms:W3CDTF">2023-11-15T22:21:00Z</dcterms:created>
  <dcterms:modified xsi:type="dcterms:W3CDTF">2023-11-15T22:21:00Z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198386981v.1</vt:lpwstr>
  </property>
  <property fmtid="{D5CDD505-2E9C-101B-9397-08002B2CF9AE}" pid="3" name="ContentTypeId">
    <vt:lpwstr>0x01010034BA068C9039A748BC8E1A6E7583C0BF</vt:lpwstr>
  </property>
  <property fmtid="{D5CDD505-2E9C-101B-9397-08002B2CF9AE}" pid="4" name="Order">
    <vt:r8>190200</vt:r8>
  </property>
  <property fmtid="{D5CDD505-2E9C-101B-9397-08002B2CF9AE}" pid="5" name="_ColorTag">
    <vt:lpwstr/>
  </property>
  <property fmtid="{D5CDD505-2E9C-101B-9397-08002B2CF9AE}" pid="6" name="_ExtendedDescription">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ies>
</file>